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59C1" w14:textId="77777777" w:rsidR="00C96C1C" w:rsidRDefault="00767182" w:rsidP="000B5A3D">
      <w:pPr>
        <w:widowControl w:val="0"/>
        <w:autoSpaceDE w:val="0"/>
        <w:autoSpaceDN w:val="0"/>
        <w:adjustRightInd w:val="0"/>
        <w:spacing w:before="120" w:after="0" w:line="220" w:lineRule="exact"/>
        <w:rPr>
          <w:rFonts w:cs="Arial"/>
          <w:b/>
          <w:kern w:val="28"/>
          <w:sz w:val="32"/>
          <w:szCs w:val="32"/>
        </w:rPr>
      </w:pPr>
      <w:r w:rsidRPr="00767182">
        <w:rPr>
          <w:rFonts w:cs="Arial"/>
          <w:b/>
          <w:bCs/>
          <w:kern w:val="28"/>
          <w:sz w:val="32"/>
          <w:szCs w:val="32"/>
        </w:rPr>
        <w:t>Natural Flood Management in eastern Australia</w:t>
      </w:r>
      <w:r w:rsidRPr="000B5A3D">
        <w:rPr>
          <w:rFonts w:cs="Arial"/>
          <w:b/>
          <w:bCs/>
          <w:kern w:val="28"/>
          <w:sz w:val="32"/>
          <w:szCs w:val="32"/>
        </w:rPr>
        <w:t xml:space="preserve">: </w:t>
      </w:r>
      <w:r w:rsidR="00C96C1C">
        <w:rPr>
          <w:rFonts w:cs="Arial"/>
          <w:b/>
          <w:bCs/>
          <w:kern w:val="28"/>
          <w:sz w:val="32"/>
          <w:szCs w:val="32"/>
        </w:rPr>
        <w:t>applying g</w:t>
      </w:r>
      <w:r w:rsidRPr="000B5A3D">
        <w:rPr>
          <w:rFonts w:cs="Arial"/>
          <w:b/>
          <w:kern w:val="28"/>
          <w:sz w:val="32"/>
          <w:szCs w:val="32"/>
        </w:rPr>
        <w:t>eomorphic</w:t>
      </w:r>
    </w:p>
    <w:p w14:paraId="5BC305C9" w14:textId="7E3111BC" w:rsidR="000B5A3D" w:rsidRDefault="00080726" w:rsidP="000B5A3D">
      <w:pPr>
        <w:widowControl w:val="0"/>
        <w:autoSpaceDE w:val="0"/>
        <w:autoSpaceDN w:val="0"/>
        <w:adjustRightInd w:val="0"/>
        <w:spacing w:before="120" w:after="0" w:line="220" w:lineRule="exact"/>
        <w:rPr>
          <w:rFonts w:cs="Arial"/>
          <w:b/>
          <w:kern w:val="28"/>
          <w:sz w:val="32"/>
          <w:szCs w:val="32"/>
        </w:rPr>
      </w:pPr>
      <w:r>
        <w:rPr>
          <w:rFonts w:cs="Arial"/>
          <w:b/>
          <w:kern w:val="28"/>
          <w:sz w:val="32"/>
          <w:szCs w:val="32"/>
        </w:rPr>
        <w:t>i</w:t>
      </w:r>
      <w:r w:rsidR="00767182" w:rsidRPr="000B5A3D">
        <w:rPr>
          <w:rFonts w:cs="Arial"/>
          <w:b/>
          <w:kern w:val="28"/>
          <w:sz w:val="32"/>
          <w:szCs w:val="32"/>
        </w:rPr>
        <w:t>nsights</w:t>
      </w:r>
      <w:r w:rsidR="00C96C1C">
        <w:rPr>
          <w:rFonts w:cs="Arial"/>
          <w:b/>
          <w:kern w:val="28"/>
          <w:sz w:val="32"/>
          <w:szCs w:val="32"/>
        </w:rPr>
        <w:t xml:space="preserve"> to</w:t>
      </w:r>
      <w:r w:rsidR="00C96C1C" w:rsidRPr="00C96C1C">
        <w:rPr>
          <w:rFonts w:cs="Arial"/>
          <w:b/>
          <w:kern w:val="28"/>
          <w:sz w:val="32"/>
          <w:szCs w:val="32"/>
        </w:rPr>
        <w:t xml:space="preserve"> </w:t>
      </w:r>
      <w:r w:rsidR="00C96C1C">
        <w:rPr>
          <w:rFonts w:cs="Arial"/>
          <w:b/>
          <w:kern w:val="28"/>
          <w:sz w:val="32"/>
          <w:szCs w:val="32"/>
        </w:rPr>
        <w:t>enhance</w:t>
      </w:r>
      <w:r w:rsidR="00C96C1C" w:rsidRPr="000B5A3D">
        <w:rPr>
          <w:rFonts w:cs="Arial"/>
          <w:b/>
          <w:kern w:val="28"/>
          <w:sz w:val="32"/>
          <w:szCs w:val="32"/>
        </w:rPr>
        <w:t xml:space="preserve"> NFM outcomes in practice</w:t>
      </w:r>
    </w:p>
    <w:p w14:paraId="096D95CF" w14:textId="72F62968" w:rsidR="00262BE8" w:rsidRPr="00755EE3" w:rsidRDefault="00944C28" w:rsidP="00BD1AE5">
      <w:pPr>
        <w:rPr>
          <w:sz w:val="14"/>
          <w:szCs w:val="14"/>
        </w:rPr>
      </w:pPr>
      <w:r>
        <w:t>Isabelle Flook</w:t>
      </w:r>
      <w:r w:rsidR="007B4269">
        <w:rPr>
          <w:vertAlign w:val="superscript"/>
        </w:rPr>
        <w:t>1</w:t>
      </w:r>
      <w:r w:rsidR="007B4269">
        <w:t xml:space="preserve">, </w:t>
      </w:r>
      <w:r w:rsidR="00755EE3">
        <w:t>Misko Ivezich</w:t>
      </w:r>
      <w:r w:rsidR="00755EE3">
        <w:rPr>
          <w:vertAlign w:val="superscript"/>
        </w:rPr>
        <w:t>1</w:t>
      </w:r>
      <w:r w:rsidR="00755EE3">
        <w:t>, Ian Rutherfurd</w:t>
      </w:r>
      <w:r w:rsidR="00755EE3">
        <w:rPr>
          <w:vertAlign w:val="superscript"/>
        </w:rPr>
        <w:t>1</w:t>
      </w:r>
      <w:r w:rsidR="00B00E1F">
        <w:rPr>
          <w:vertAlign w:val="superscript"/>
        </w:rPr>
        <w:t>, 3</w:t>
      </w:r>
      <w:r w:rsidR="00755EE3">
        <w:t>, Joanne Burton</w:t>
      </w:r>
      <w:r w:rsidR="00755EE3">
        <w:rPr>
          <w:vertAlign w:val="superscript"/>
        </w:rPr>
        <w:t>2</w:t>
      </w:r>
    </w:p>
    <w:p w14:paraId="722A2BC0" w14:textId="25178FB8" w:rsidR="00262BE8" w:rsidRDefault="00262BE8" w:rsidP="007B4269">
      <w:pPr>
        <w:pStyle w:val="addresslist"/>
      </w:pPr>
      <w:r>
        <w:t>1</w:t>
      </w:r>
      <w:r>
        <w:rPr>
          <w:spacing w:val="6"/>
        </w:rPr>
        <w:t xml:space="preserve"> </w:t>
      </w:r>
      <w:r w:rsidR="00755EE3">
        <w:t>Alluvium Consulting</w:t>
      </w:r>
      <w:r w:rsidR="007B4269">
        <w:t xml:space="preserve">, </w:t>
      </w:r>
      <w:r w:rsidR="00755EE3">
        <w:t>NSW</w:t>
      </w:r>
      <w:r w:rsidR="007B4269">
        <w:t xml:space="preserve">, </w:t>
      </w:r>
      <w:r w:rsidR="004E5B7F">
        <w:t>2481</w:t>
      </w:r>
      <w:r w:rsidR="007B4269">
        <w:t xml:space="preserve">. Email: </w:t>
      </w:r>
      <w:r w:rsidR="005E063F" w:rsidRPr="005E063F">
        <w:t>isabelle.flook</w:t>
      </w:r>
      <w:r w:rsidR="007B4269" w:rsidRPr="005E063F">
        <w:t>@</w:t>
      </w:r>
      <w:r w:rsidR="005E063F">
        <w:t>alluvium.com.au</w:t>
      </w:r>
      <w:r w:rsidR="007B4269">
        <w:tab/>
      </w:r>
    </w:p>
    <w:p w14:paraId="0A37501D" w14:textId="6EF202DD" w:rsidR="00262BE8" w:rsidRDefault="007B4269" w:rsidP="005043F7">
      <w:pPr>
        <w:pStyle w:val="addresslist"/>
      </w:pPr>
      <w:r>
        <w:t xml:space="preserve">2 </w:t>
      </w:r>
      <w:r w:rsidR="004E5B7F">
        <w:t>Council of Mayors</w:t>
      </w:r>
      <w:r w:rsidR="005E063F">
        <w:t xml:space="preserve"> (SEQ), QLD, 4000.</w:t>
      </w:r>
    </w:p>
    <w:p w14:paraId="6A92D76F" w14:textId="7CD6DC6B" w:rsidR="00B00E1F" w:rsidRPr="00071EDF" w:rsidRDefault="00B00E1F" w:rsidP="00071EDF">
      <w:pPr>
        <w:pStyle w:val="addresslist"/>
        <w:spacing w:after="0"/>
      </w:pPr>
      <w:r>
        <w:t xml:space="preserve">3. School of Geography, Earth &amp; Atmospheric Science, The University of Melbourne.  </w:t>
      </w:r>
    </w:p>
    <w:p w14:paraId="5DAB6C7B" w14:textId="77777777" w:rsidR="00262BE8" w:rsidRPr="006E2219" w:rsidRDefault="00262BE8">
      <w:pPr>
        <w:widowControl w:val="0"/>
        <w:autoSpaceDE w:val="0"/>
        <w:autoSpaceDN w:val="0"/>
        <w:adjustRightInd w:val="0"/>
        <w:spacing w:after="0" w:line="200" w:lineRule="exact"/>
        <w:rPr>
          <w:sz w:val="20"/>
          <w:szCs w:val="20"/>
        </w:rPr>
      </w:pPr>
    </w:p>
    <w:p w14:paraId="407D040C" w14:textId="77777777" w:rsidR="0094728C" w:rsidRPr="006E2219" w:rsidRDefault="0094728C" w:rsidP="0094728C">
      <w:pPr>
        <w:pStyle w:val="dotpointsinbox"/>
        <w:numPr>
          <w:ilvl w:val="0"/>
          <w:numId w:val="0"/>
        </w:numPr>
        <w:ind w:left="474"/>
      </w:pPr>
      <w:r w:rsidRPr="006E2219">
        <w:rPr>
          <w:b/>
          <w:bCs w:val="0"/>
        </w:rPr>
        <w:t>Key Points</w:t>
      </w:r>
    </w:p>
    <w:p w14:paraId="146B04F3" w14:textId="77777777" w:rsidR="008B55AE" w:rsidRPr="008B55AE" w:rsidRDefault="006E2219" w:rsidP="000376E1">
      <w:pPr>
        <w:pStyle w:val="dotpointsinbox"/>
      </w:pPr>
      <w:r w:rsidRPr="006E2219">
        <w:rPr>
          <w:lang w:val="en-AU"/>
        </w:rPr>
        <w:t>The fundamental principles behind N</w:t>
      </w:r>
      <w:r>
        <w:rPr>
          <w:lang w:val="en-AU"/>
        </w:rPr>
        <w:t>atural Flood Management (NFM)</w:t>
      </w:r>
      <w:r w:rsidRPr="006E2219">
        <w:rPr>
          <w:lang w:val="en-AU"/>
        </w:rPr>
        <w:t xml:space="preserve"> comes from an understanding of the hydrological and hydraulic impacts that land uses changes have had on flooding processes and how we can redress them. </w:t>
      </w:r>
    </w:p>
    <w:p w14:paraId="68A99F76" w14:textId="59C62E56" w:rsidR="008B55AE" w:rsidRDefault="008B55AE" w:rsidP="008B55AE">
      <w:pPr>
        <w:pStyle w:val="dotpointsinbox"/>
      </w:pPr>
      <w:r w:rsidRPr="006325D4">
        <w:t xml:space="preserve">NFM typically aims to </w:t>
      </w:r>
      <w:r>
        <w:t xml:space="preserve">influence </w:t>
      </w:r>
      <w:r w:rsidR="00C04AE8" w:rsidRPr="006E2219">
        <w:rPr>
          <w:lang w:val="en-AU"/>
        </w:rPr>
        <w:t xml:space="preserve">hydrological and hydraulic </w:t>
      </w:r>
      <w:r w:rsidR="00C04AE8">
        <w:rPr>
          <w:lang w:val="en-AU"/>
        </w:rPr>
        <w:t xml:space="preserve">processes </w:t>
      </w:r>
      <w:r w:rsidRPr="006325D4">
        <w:t xml:space="preserve">via one (or more) of </w:t>
      </w:r>
      <w:r>
        <w:t xml:space="preserve">four </w:t>
      </w:r>
      <w:r w:rsidRPr="006325D4">
        <w:t>mechanisms</w:t>
      </w:r>
      <w:r>
        <w:t xml:space="preserve">: 1) Increasing infiltration; 2) Slowing conveyance within channels by increasing hydraulic roughness; 3) </w:t>
      </w:r>
      <w:r w:rsidR="003504A1">
        <w:t>I</w:t>
      </w:r>
      <w:r>
        <w:t xml:space="preserve">ncreasing floodplain storage; 4) </w:t>
      </w:r>
      <w:proofErr w:type="spellStart"/>
      <w:r w:rsidR="003504A1">
        <w:t>Desynchroni</w:t>
      </w:r>
      <w:r w:rsidR="00F57219">
        <w:t>s</w:t>
      </w:r>
      <w:r w:rsidR="003504A1">
        <w:t>ing</w:t>
      </w:r>
      <w:proofErr w:type="spellEnd"/>
      <w:r w:rsidR="003504A1">
        <w:t xml:space="preserve"> </w:t>
      </w:r>
      <w:r>
        <w:t>sub-catchment flood peaks</w:t>
      </w:r>
      <w:r w:rsidR="003504A1">
        <w:t xml:space="preserve">. </w:t>
      </w:r>
    </w:p>
    <w:p w14:paraId="491A927A" w14:textId="6340ACFC" w:rsidR="006E2219" w:rsidRPr="006E2219" w:rsidRDefault="008B55AE" w:rsidP="008B55AE">
      <w:pPr>
        <w:pStyle w:val="dotpointsinbox"/>
      </w:pPr>
      <w:r w:rsidRPr="006E2219">
        <w:t xml:space="preserve">Floodplain storage is critical to attenuating downstream flood peaks in </w:t>
      </w:r>
      <w:r w:rsidRPr="00C04AE8">
        <w:rPr>
          <w:i/>
          <w:iCs/>
        </w:rPr>
        <w:t>large</w:t>
      </w:r>
      <w:r w:rsidRPr="006E2219">
        <w:t xml:space="preserve"> flood events; channel capacity significantly affects channel-floodplain connectivity and therefore the potential for floodplain storage. </w:t>
      </w:r>
      <w:r w:rsidR="006E2219" w:rsidRPr="008B55AE">
        <w:rPr>
          <w:lang w:val="en-AU"/>
        </w:rPr>
        <w:t xml:space="preserve"> </w:t>
      </w:r>
    </w:p>
    <w:p w14:paraId="35632146" w14:textId="4D473664" w:rsidR="00A242A4" w:rsidRPr="006E2219" w:rsidRDefault="00FC0F87" w:rsidP="003448CC">
      <w:pPr>
        <w:pStyle w:val="dotpointsinbox"/>
      </w:pPr>
      <w:r w:rsidRPr="006E2219">
        <w:t xml:space="preserve">Managing ongoing channel </w:t>
      </w:r>
      <w:r w:rsidR="00C04AE8">
        <w:t>enlargement</w:t>
      </w:r>
      <w:r w:rsidR="00C34577">
        <w:t xml:space="preserve"> </w:t>
      </w:r>
      <w:r w:rsidR="00BB67DC" w:rsidRPr="006E2219">
        <w:t>is</w:t>
      </w:r>
      <w:r w:rsidRPr="006E2219">
        <w:t xml:space="preserve"> an under-recognised but potentially high-impact NFM intervention, with investigations in </w:t>
      </w:r>
      <w:proofErr w:type="gramStart"/>
      <w:r w:rsidRPr="006E2219">
        <w:t>South East</w:t>
      </w:r>
      <w:proofErr w:type="gramEnd"/>
      <w:r w:rsidRPr="006E2219">
        <w:t xml:space="preserve"> Queensland showing that channel enlargement over a ten-year period increased peak discharges by 10–15% in some systems.</w:t>
      </w:r>
    </w:p>
    <w:p w14:paraId="7616F359" w14:textId="5EDC45AB" w:rsidR="0093306E" w:rsidRDefault="00210073" w:rsidP="0093306E">
      <w:pPr>
        <w:pStyle w:val="dotpointsinbox"/>
      </w:pPr>
      <w:r w:rsidRPr="006E2219">
        <w:t xml:space="preserve">Backwater effects generated by valley constrictions </w:t>
      </w:r>
      <w:r w:rsidRPr="000376E1">
        <w:t xml:space="preserve">(and other downstream </w:t>
      </w:r>
      <w:r>
        <w:t>hydraulic controls) can influence the</w:t>
      </w:r>
      <w:r w:rsidR="00AD735C">
        <w:t xml:space="preserve"> effectiveness of NFM </w:t>
      </w:r>
      <w:r w:rsidR="00F03A3F">
        <w:t>approaches</w:t>
      </w:r>
      <w:r w:rsidR="0093306E">
        <w:t>; t</w:t>
      </w:r>
      <w:r w:rsidR="00AD735C">
        <w:t xml:space="preserve">he effect of channel enlargement </w:t>
      </w:r>
      <w:r w:rsidR="00F03A3F">
        <w:t xml:space="preserve">on flow conveyance </w:t>
      </w:r>
      <w:r w:rsidR="00AD735C">
        <w:t xml:space="preserve">in </w:t>
      </w:r>
      <w:r w:rsidR="00F03A3F">
        <w:t>backwater zones becomes</w:t>
      </w:r>
      <w:r w:rsidR="00AD735C">
        <w:t xml:space="preserve"> less pronounced with increasing flood magnitude. </w:t>
      </w:r>
    </w:p>
    <w:p w14:paraId="7CBFD60A" w14:textId="2AC69C80" w:rsidR="00262BE8" w:rsidRDefault="00262BE8" w:rsidP="001069E0">
      <w:pPr>
        <w:pStyle w:val="Heading1"/>
      </w:pPr>
      <w:r>
        <w:t>Abstract</w:t>
      </w:r>
    </w:p>
    <w:p w14:paraId="061CB7B0" w14:textId="77777777" w:rsidR="003D1A3A" w:rsidRPr="00D95096" w:rsidRDefault="003D1A3A" w:rsidP="003D1A3A">
      <w:r w:rsidRPr="007D56F2">
        <w:t xml:space="preserve">Conventional flood mitigation strategies in </w:t>
      </w:r>
      <w:r>
        <w:t xml:space="preserve">eastern </w:t>
      </w:r>
      <w:r w:rsidRPr="007D56F2">
        <w:t xml:space="preserve">Australia have largely relied on engineered infrastructure, including dams, levees and </w:t>
      </w:r>
      <w:proofErr w:type="spellStart"/>
      <w:r w:rsidRPr="007D56F2">
        <w:t>channelisation</w:t>
      </w:r>
      <w:proofErr w:type="spellEnd"/>
      <w:r w:rsidRPr="007D56F2">
        <w:t xml:space="preserve"> of waterways</w:t>
      </w:r>
      <w:r>
        <w:t xml:space="preserve">. </w:t>
      </w:r>
      <w:r w:rsidRPr="0064225F">
        <w:t xml:space="preserve">These strategies can have adverse environmental impacts, </w:t>
      </w:r>
      <w:r>
        <w:t>and the</w:t>
      </w:r>
      <w:r w:rsidRPr="0064225F">
        <w:t xml:space="preserve"> latter approaches</w:t>
      </w:r>
      <w:r>
        <w:t>, which</w:t>
      </w:r>
      <w:r w:rsidRPr="0064225F">
        <w:t xml:space="preserve"> confine and accelerate flow velocities to reduce flood levels in targeted locations, </w:t>
      </w:r>
      <w:r>
        <w:t>can increase</w:t>
      </w:r>
      <w:r w:rsidRPr="0064225F">
        <w:t xml:space="preserve"> flood risk downstream.</w:t>
      </w:r>
      <w:r>
        <w:t xml:space="preserve"> </w:t>
      </w:r>
      <w:r w:rsidRPr="007D56F2">
        <w:t>In recent years, a different approach has emerged called Natural Flood Management (NFM). NFM uses “natural” hydrological and biophysical processes to reduce flood risk, whilst delivering a range ecological and societal co-benefits.</w:t>
      </w:r>
      <w:r>
        <w:t xml:space="preserve"> </w:t>
      </w:r>
    </w:p>
    <w:p w14:paraId="16BF85B9" w14:textId="71B30F0A" w:rsidR="003D1A3A" w:rsidRDefault="003D1A3A" w:rsidP="003D1A3A">
      <w:r>
        <w:t xml:space="preserve">Within NFM research and published guidelines to date, the impact of channel enlargement on flood flow conveyance has been largely overlooked. Four case study </w:t>
      </w:r>
      <w:r w:rsidR="00B67899">
        <w:t>areas i</w:t>
      </w:r>
      <w:r>
        <w:t xml:space="preserve">n </w:t>
      </w:r>
      <w:proofErr w:type="gramStart"/>
      <w:r w:rsidRPr="00D95096">
        <w:t>South East</w:t>
      </w:r>
      <w:proofErr w:type="gramEnd"/>
      <w:r w:rsidRPr="00D95096">
        <w:t xml:space="preserve"> Queensland</w:t>
      </w:r>
      <w:r>
        <w:t xml:space="preserve"> were used to investigate the impact of erosional channel enlargement on downstream peak discharges. The </w:t>
      </w:r>
      <w:r w:rsidR="002E56CB">
        <w:t xml:space="preserve">LiDAR-based hydraulic </w:t>
      </w:r>
      <w:r>
        <w:t>modelling results</w:t>
      </w:r>
      <w:r w:rsidRPr="00D95096">
        <w:t xml:space="preserve"> indicate that erosional channel enlargement </w:t>
      </w:r>
      <w:r w:rsidR="006736DD">
        <w:t xml:space="preserve">over a ten-year period </w:t>
      </w:r>
      <w:r w:rsidRPr="00D95096">
        <w:t>increased peak discharges</w:t>
      </w:r>
      <w:r>
        <w:t xml:space="preserve"> in some systems</w:t>
      </w:r>
      <w:r w:rsidRPr="00D95096">
        <w:t xml:space="preserve"> by approximately 10–15%.</w:t>
      </w:r>
      <w:r>
        <w:t xml:space="preserve"> </w:t>
      </w:r>
      <w:r w:rsidRPr="00AA781D">
        <w:t>The findings also highlight that, where downstream hydraulic controls such as valley constrictions</w:t>
      </w:r>
      <w:r>
        <w:t xml:space="preserve"> </w:t>
      </w:r>
      <w:r w:rsidRPr="00AA781D">
        <w:t>create backwater effects, the influence of channel enlargement on flow conveyance becomes less pronounced with increasing flood magnitude.</w:t>
      </w:r>
    </w:p>
    <w:p w14:paraId="4C79D92E" w14:textId="795703D9" w:rsidR="003D1A3A" w:rsidRDefault="003D1A3A" w:rsidP="003D1A3A">
      <w:r w:rsidRPr="0046344F">
        <w:t xml:space="preserve">These geomorphic insights present an opportunity to enhance NFM outcomes in practice, by firstly aligning the pursuit of NFM outcomes with river rehabilitation more generally, and secondly, by considering geomorphic </w:t>
      </w:r>
      <w:proofErr w:type="gramStart"/>
      <w:r w:rsidRPr="0046344F">
        <w:t>setting</w:t>
      </w:r>
      <w:proofErr w:type="gramEnd"/>
      <w:r w:rsidRPr="0046344F">
        <w:t xml:space="preserve"> when prioritising placement of NFM interventions to maximise the hydraulic benefits they provide. </w:t>
      </w:r>
      <w:r>
        <w:t>The challenges associated with large-scale implementation of NFM, including secondary consequences of successful NFM, are also explored.</w:t>
      </w:r>
    </w:p>
    <w:p w14:paraId="15D59032" w14:textId="77777777" w:rsidR="00262BE8" w:rsidRPr="00C32AB8" w:rsidRDefault="00262BE8" w:rsidP="00AF7246">
      <w:pPr>
        <w:pStyle w:val="Heading1"/>
      </w:pPr>
      <w:r>
        <w:t>Keywords</w:t>
      </w:r>
    </w:p>
    <w:p w14:paraId="7CEA92DE" w14:textId="6FB98160" w:rsidR="00262BE8" w:rsidRPr="00C56417" w:rsidRDefault="00FA7F4D" w:rsidP="00C56417">
      <w:pPr>
        <w:widowControl w:val="0"/>
        <w:autoSpaceDE w:val="0"/>
        <w:autoSpaceDN w:val="0"/>
        <w:adjustRightInd w:val="0"/>
        <w:spacing w:after="0"/>
      </w:pPr>
      <w:r>
        <w:t xml:space="preserve">Natural flood management; nature-based </w:t>
      </w:r>
      <w:r w:rsidR="004A7B21">
        <w:t xml:space="preserve">solutions for </w:t>
      </w:r>
      <w:r>
        <w:t xml:space="preserve">flood mitigation; </w:t>
      </w:r>
      <w:r w:rsidR="00944C28">
        <w:t>channel enlargement; flow conveyance</w:t>
      </w:r>
      <w:r w:rsidR="00154520">
        <w:t xml:space="preserve">; riparian rehabilitation; </w:t>
      </w:r>
      <w:r w:rsidR="001168AC">
        <w:t>geomorphology</w:t>
      </w:r>
    </w:p>
    <w:p w14:paraId="3E7A9F1C" w14:textId="77777777" w:rsidR="00262BE8" w:rsidRPr="00C32AB8" w:rsidRDefault="007265F8" w:rsidP="00592DAA">
      <w:pPr>
        <w:pStyle w:val="Heading1"/>
      </w:pPr>
      <w:r>
        <w:lastRenderedPageBreak/>
        <w:t>Introduction</w:t>
      </w:r>
    </w:p>
    <w:p w14:paraId="4BB448B3" w14:textId="027B1248" w:rsidR="00BD3D78" w:rsidRPr="00D95096" w:rsidRDefault="00BD3D78" w:rsidP="00BD3D78">
      <w:pPr>
        <w:rPr>
          <w:color w:val="767171" w:themeColor="background2" w:themeShade="80"/>
        </w:rPr>
      </w:pPr>
      <w:r w:rsidRPr="00F76334">
        <w:t>Eastern Australian catchments are experiencing</w:t>
      </w:r>
      <w:r>
        <w:t xml:space="preserve"> </w:t>
      </w:r>
      <w:r w:rsidRPr="00F76334">
        <w:t>increasin</w:t>
      </w:r>
      <w:r>
        <w:t>gly extreme and intense</w:t>
      </w:r>
      <w:r w:rsidRPr="00F76334">
        <w:t xml:space="preserve"> rainfall events</w:t>
      </w:r>
      <w:r>
        <w:t xml:space="preserve"> (CSIRO, 2024)</w:t>
      </w:r>
      <w:r w:rsidRPr="00F76334">
        <w:t xml:space="preserve">. </w:t>
      </w:r>
      <w:r w:rsidR="00B651A3">
        <w:t xml:space="preserve">Since </w:t>
      </w:r>
      <w:proofErr w:type="spellStart"/>
      <w:r w:rsidR="00B651A3">
        <w:t>colonisation</w:t>
      </w:r>
      <w:proofErr w:type="spellEnd"/>
      <w:r w:rsidRPr="00F76334">
        <w:t>, there have been widespread changes to catchments</w:t>
      </w:r>
      <w:r w:rsidRPr="00D95096">
        <w:t xml:space="preserve">, floodplains and riparian zones </w:t>
      </w:r>
      <w:r w:rsidRPr="00F76334">
        <w:t>that have altered hydrological and hydraulic processes. Extreme rainfall events, coupled with catchment degradation impacting flooding dynamics</w:t>
      </w:r>
      <w:r w:rsidR="00944C28" w:rsidRPr="00F76334">
        <w:t>, have</w:t>
      </w:r>
      <w:r w:rsidRPr="00F76334">
        <w:t xml:space="preserve"> </w:t>
      </w:r>
      <w:r w:rsidR="00AB67AA">
        <w:t>had</w:t>
      </w:r>
      <w:r w:rsidRPr="00F76334">
        <w:t xml:space="preserve"> dramatic and widespread implications for the health of our river ecosystems (extending to marine ecosystems), leading to major and prolonged water quality </w:t>
      </w:r>
      <w:r w:rsidRPr="00E71A6C">
        <w:t xml:space="preserve">issues (NSW DPE, 2026), fish kills (NSW EPA, 2025) and habitat destruction. If we also consider the impact to property and infrastructure, </w:t>
      </w:r>
      <w:r w:rsidR="0067196F">
        <w:t xml:space="preserve">extreme </w:t>
      </w:r>
      <w:r w:rsidRPr="00E71A6C">
        <w:t xml:space="preserve">flooding is Australia’s most expensive natural disaster in terms of insured losses, with the annual cost having doubled in the </w:t>
      </w:r>
      <w:r w:rsidRPr="00D95096">
        <w:t>last five years to $2.2 billion</w:t>
      </w:r>
      <w:r>
        <w:t xml:space="preserve"> (Insurance Council of Australia, 2024)</w:t>
      </w:r>
      <w:r w:rsidRPr="00D95096">
        <w:t>.</w:t>
      </w:r>
      <w:r w:rsidRPr="00D95096">
        <w:rPr>
          <w:color w:val="767171" w:themeColor="background2" w:themeShade="80"/>
        </w:rPr>
        <w:t xml:space="preserve"> </w:t>
      </w:r>
    </w:p>
    <w:p w14:paraId="0420584F" w14:textId="40749488" w:rsidR="00E46A4D" w:rsidRDefault="00E07264" w:rsidP="002C472B">
      <w:pPr>
        <w:rPr>
          <w:color w:val="EE0000"/>
        </w:rPr>
      </w:pPr>
      <w:r>
        <w:t>Conventional</w:t>
      </w:r>
      <w:r w:rsidR="00BD3D78" w:rsidRPr="00D95096">
        <w:t xml:space="preserve"> flood </w:t>
      </w:r>
      <w:r>
        <w:t>mitigation strategies</w:t>
      </w:r>
      <w:r w:rsidR="00BD3D78" w:rsidRPr="00D95096">
        <w:t xml:space="preserve"> (excluding </w:t>
      </w:r>
      <w:r>
        <w:t xml:space="preserve">land use </w:t>
      </w:r>
      <w:r w:rsidR="00BD3D78" w:rsidRPr="00D95096">
        <w:t xml:space="preserve">planning approaches) have </w:t>
      </w:r>
      <w:r w:rsidR="00AA6AEC">
        <w:t xml:space="preserve">typically </w:t>
      </w:r>
      <w:r w:rsidR="00E736E0">
        <w:t>relied on</w:t>
      </w:r>
      <w:r w:rsidR="00BE3608">
        <w:t xml:space="preserve"> </w:t>
      </w:r>
      <w:r w:rsidR="00E00BBC">
        <w:t xml:space="preserve">engineered </w:t>
      </w:r>
      <w:r w:rsidR="00B46C8B">
        <w:t>infrastructure suc</w:t>
      </w:r>
      <w:r w:rsidR="00BD3D78" w:rsidRPr="00D95096">
        <w:t xml:space="preserve">h as dams, </w:t>
      </w:r>
      <w:r w:rsidR="009536DE">
        <w:t xml:space="preserve">levees, and </w:t>
      </w:r>
      <w:proofErr w:type="spellStart"/>
      <w:r w:rsidR="00BD3D78" w:rsidRPr="00D95096">
        <w:t>channelisation</w:t>
      </w:r>
      <w:proofErr w:type="spellEnd"/>
      <w:r w:rsidR="00BD3D78" w:rsidRPr="00D95096">
        <w:t xml:space="preserve"> of </w:t>
      </w:r>
      <w:r w:rsidR="00A00073">
        <w:t>waterways</w:t>
      </w:r>
      <w:r w:rsidR="00BD3D78" w:rsidRPr="00D95096">
        <w:t xml:space="preserve">. </w:t>
      </w:r>
      <w:r w:rsidR="00770C5D">
        <w:t>The latter strategies</w:t>
      </w:r>
      <w:r w:rsidR="00F962D0">
        <w:t xml:space="preserve"> </w:t>
      </w:r>
      <w:r w:rsidR="00BD3D78" w:rsidRPr="00D95096">
        <w:t xml:space="preserve">aim to </w:t>
      </w:r>
      <w:r w:rsidR="000871F5">
        <w:t xml:space="preserve">confine and </w:t>
      </w:r>
      <w:r w:rsidR="00BD3D78" w:rsidRPr="00E46A4D">
        <w:rPr>
          <w:i/>
          <w:iCs/>
        </w:rPr>
        <w:t>speed up</w:t>
      </w:r>
      <w:r w:rsidR="00BD3D78" w:rsidRPr="00D95096">
        <w:t xml:space="preserve"> the flow velocities</w:t>
      </w:r>
      <w:r w:rsidR="00BD3D78">
        <w:t xml:space="preserve"> </w:t>
      </w:r>
      <w:r w:rsidR="00DC62A6">
        <w:t>to</w:t>
      </w:r>
      <w:r w:rsidR="00BD3D78" w:rsidRPr="00D95096">
        <w:t xml:space="preserve"> lower the flood level (called the flood stage) in desired locations, often with the aim of protecting populated areas or essential infrastructure</w:t>
      </w:r>
      <w:r w:rsidR="00067C04">
        <w:t xml:space="preserve">, </w:t>
      </w:r>
      <w:proofErr w:type="gramStart"/>
      <w:r w:rsidR="00BB0484">
        <w:t>more often than not</w:t>
      </w:r>
      <w:proofErr w:type="gramEnd"/>
      <w:r w:rsidR="00BB0484">
        <w:t xml:space="preserve">, </w:t>
      </w:r>
      <w:r w:rsidR="0092656F">
        <w:t xml:space="preserve">contributing to </w:t>
      </w:r>
      <w:r w:rsidR="004F3333">
        <w:t xml:space="preserve">higher flow velocities and </w:t>
      </w:r>
      <w:r w:rsidR="006F4463">
        <w:t>elevated</w:t>
      </w:r>
      <w:r w:rsidR="00067C04">
        <w:t xml:space="preserve"> flood peaks </w:t>
      </w:r>
      <w:r w:rsidR="00BB0484">
        <w:t>downstream</w:t>
      </w:r>
      <w:r w:rsidR="00BD3D78" w:rsidRPr="00D95096">
        <w:t xml:space="preserve">. </w:t>
      </w:r>
      <w:r w:rsidR="00D5242A" w:rsidRPr="00D5242A">
        <w:t>Whilst d</w:t>
      </w:r>
      <w:r w:rsidR="0094789A" w:rsidRPr="00D5242A">
        <w:t xml:space="preserve">ams </w:t>
      </w:r>
      <w:r w:rsidR="00D5242A" w:rsidRPr="00D5242A">
        <w:t>can reduce</w:t>
      </w:r>
      <w:r w:rsidR="00B94E48" w:rsidRPr="00D5242A">
        <w:t xml:space="preserve"> the amount of water</w:t>
      </w:r>
      <w:r w:rsidR="00770C5D" w:rsidRPr="00D5242A">
        <w:t xml:space="preserve"> entering the river netw</w:t>
      </w:r>
      <w:r w:rsidR="00D5242A" w:rsidRPr="00D5242A">
        <w:t>orks in flood events, they can</w:t>
      </w:r>
      <w:r w:rsidR="00770C5D" w:rsidRPr="00D5242A">
        <w:t xml:space="preserve"> </w:t>
      </w:r>
      <w:r w:rsidR="00D5242A" w:rsidRPr="00D5242A">
        <w:t xml:space="preserve">have </w:t>
      </w:r>
      <w:r w:rsidR="00B94E48" w:rsidRPr="00D5242A">
        <w:t xml:space="preserve">major </w:t>
      </w:r>
      <w:r w:rsidR="00770C5D" w:rsidRPr="00D5242A">
        <w:t>long-lasting</w:t>
      </w:r>
      <w:r w:rsidR="00E46A4D" w:rsidRPr="00D5242A">
        <w:t xml:space="preserve"> negative impacts on </w:t>
      </w:r>
      <w:r w:rsidR="0094789A" w:rsidRPr="00D5242A">
        <w:t>river systems by disrupting sediment transport dyn</w:t>
      </w:r>
      <w:r w:rsidR="00A07D8D" w:rsidRPr="00D5242A">
        <w:t>amics, changing flow regimes and degrading aquatic habitats.</w:t>
      </w:r>
      <w:r w:rsidR="00BD3D78" w:rsidRPr="00D5242A">
        <w:t xml:space="preserve"> </w:t>
      </w:r>
    </w:p>
    <w:p w14:paraId="1D66DF3D" w14:textId="481A012B" w:rsidR="00BD3D78" w:rsidRPr="00867C1E" w:rsidRDefault="00BD3D78" w:rsidP="002C472B">
      <w:r w:rsidRPr="00D95096">
        <w:t xml:space="preserve">In recent years, a different approach has emerged called Natural Flood Management (NFM) – </w:t>
      </w:r>
      <w:r>
        <w:t>also</w:t>
      </w:r>
      <w:r w:rsidRPr="00D95096">
        <w:t xml:space="preserve"> referred to as ‘nature-based flood mitigation’.  NFM uses “natural” hydrologica</w:t>
      </w:r>
      <w:r w:rsidRPr="008059EA">
        <w:t xml:space="preserve">l and biophysical processes to reduce flood risk by </w:t>
      </w:r>
      <w:r w:rsidR="00B94E48">
        <w:t>typically</w:t>
      </w:r>
      <w:r w:rsidRPr="008059EA">
        <w:t xml:space="preserve"> </w:t>
      </w:r>
      <w:r w:rsidRPr="00E46A4D">
        <w:rPr>
          <w:i/>
          <w:iCs/>
        </w:rPr>
        <w:t>slowing</w:t>
      </w:r>
      <w:r w:rsidRPr="008059EA">
        <w:t xml:space="preserve"> the movement of water downstream (i.e. reducing conveyance) (Lane, 2017</w:t>
      </w:r>
      <w:r w:rsidR="00206F26">
        <w:t xml:space="preserve">; </w:t>
      </w:r>
      <w:r w:rsidR="005045F8">
        <w:t xml:space="preserve">Prinsley et al., 2023; </w:t>
      </w:r>
      <w:proofErr w:type="spellStart"/>
      <w:r w:rsidR="004B4093">
        <w:t>Fryirs</w:t>
      </w:r>
      <w:proofErr w:type="spellEnd"/>
      <w:r w:rsidR="004B4093">
        <w:t xml:space="preserve"> et al., 2023</w:t>
      </w:r>
      <w:r w:rsidR="007C1F87">
        <w:t>; Water Technology, 2020</w:t>
      </w:r>
      <w:r w:rsidRPr="008059EA">
        <w:t>).</w:t>
      </w:r>
      <w:r>
        <w:t xml:space="preserve"> </w:t>
      </w:r>
      <w:r w:rsidRPr="00D95096">
        <w:t xml:space="preserve">Unlike conventional structural approaches to flood mitigation, NFM approaches create landscape-scale changes that deliver a range of co-benefits for the environment, society and </w:t>
      </w:r>
      <w:r w:rsidRPr="00A20C9A">
        <w:t>economy</w:t>
      </w:r>
      <w:r w:rsidR="00C32952">
        <w:t xml:space="preserve"> (Prinsley et al., 2023)</w:t>
      </w:r>
      <w:r>
        <w:t>.</w:t>
      </w:r>
      <w:r w:rsidRPr="00A20C9A">
        <w:t xml:space="preserve"> </w:t>
      </w:r>
      <w:r w:rsidR="00AD32D8">
        <w:t xml:space="preserve"> </w:t>
      </w:r>
    </w:p>
    <w:p w14:paraId="0CDD9627" w14:textId="69A322DE" w:rsidR="00C81C16" w:rsidRPr="00C32AB8" w:rsidRDefault="00C81C16" w:rsidP="00C81C16">
      <w:pPr>
        <w:pStyle w:val="Heading1"/>
      </w:pPr>
      <w:r>
        <w:t xml:space="preserve">Overview of </w:t>
      </w:r>
      <w:r w:rsidR="009E6DAA">
        <w:t xml:space="preserve">typical </w:t>
      </w:r>
      <w:r>
        <w:t>NFM approaches</w:t>
      </w:r>
    </w:p>
    <w:p w14:paraId="02FB530D" w14:textId="77777777" w:rsidR="00312FF5" w:rsidRPr="00AC05DC" w:rsidRDefault="00EB2AB4" w:rsidP="00312FF5">
      <w:pPr>
        <w:rPr>
          <w:color w:val="000000"/>
          <w:lang w:val="en-AU"/>
        </w:rPr>
      </w:pPr>
      <w:r>
        <w:t xml:space="preserve">Since </w:t>
      </w:r>
      <w:proofErr w:type="spellStart"/>
      <w:r>
        <w:t>coloni</w:t>
      </w:r>
      <w:r w:rsidR="009E6DAA">
        <w:t>s</w:t>
      </w:r>
      <w:r>
        <w:t>ation</w:t>
      </w:r>
      <w:proofErr w:type="spellEnd"/>
      <w:r>
        <w:t xml:space="preserve">, </w:t>
      </w:r>
      <w:r w:rsidR="00F06C03" w:rsidRPr="00F76334">
        <w:t>there have been widespread changes to catchments</w:t>
      </w:r>
      <w:r w:rsidR="00F06C03" w:rsidRPr="00D95096">
        <w:t xml:space="preserve">, floodplains and riparian zones </w:t>
      </w:r>
      <w:r>
        <w:t xml:space="preserve">across eastern Australia </w:t>
      </w:r>
      <w:r w:rsidR="00F06C03" w:rsidRPr="00F76334">
        <w:t xml:space="preserve">that have </w:t>
      </w:r>
      <w:r w:rsidR="004A650A">
        <w:t xml:space="preserve">fundamentally </w:t>
      </w:r>
      <w:r w:rsidR="00F06C03" w:rsidRPr="00F76334">
        <w:t>altered hydrological and hydraulic processes</w:t>
      </w:r>
      <w:r>
        <w:t>, and consequently, flooding dynamics</w:t>
      </w:r>
      <w:r w:rsidR="00F06C03">
        <w:t xml:space="preserve">. </w:t>
      </w:r>
      <w:r w:rsidR="00816267">
        <w:t>L</w:t>
      </w:r>
      <w:r w:rsidR="00312FF5" w:rsidRPr="00D95096">
        <w:t>and use changes—including vegetation clearing, livestock, urbanisation, channel modification</w:t>
      </w:r>
      <w:r w:rsidR="00FE5484">
        <w:t>s and wetland drainage</w:t>
      </w:r>
      <w:r w:rsidR="00312FF5" w:rsidRPr="00D95096">
        <w:t xml:space="preserve">—have </w:t>
      </w:r>
      <w:r w:rsidR="001576ED">
        <w:t xml:space="preserve">generally </w:t>
      </w:r>
      <w:r w:rsidR="00312FF5" w:rsidRPr="00D95096">
        <w:t xml:space="preserve">increased runoff volumes, reduced infiltration, accelerated flood wave celerity </w:t>
      </w:r>
      <w:r w:rsidR="00954F1D">
        <w:t>(</w:t>
      </w:r>
      <w:r w:rsidR="00954F1D" w:rsidRPr="00954F1D">
        <w:t>speed at which a flood peak travels downstream</w:t>
      </w:r>
      <w:r w:rsidR="00954F1D">
        <w:t xml:space="preserve">) </w:t>
      </w:r>
      <w:r w:rsidR="00312FF5" w:rsidRPr="00D95096">
        <w:t xml:space="preserve">and </w:t>
      </w:r>
      <w:r w:rsidR="00737DC7">
        <w:t>elevated downstream</w:t>
      </w:r>
      <w:r w:rsidR="00312FF5" w:rsidRPr="00D95096">
        <w:t xml:space="preserve"> peak</w:t>
      </w:r>
      <w:r w:rsidR="00737DC7">
        <w:t xml:space="preserve"> discharges</w:t>
      </w:r>
      <w:r w:rsidR="004A650A">
        <w:t>.</w:t>
      </w:r>
      <w:r w:rsidR="00AC05DC">
        <w:t xml:space="preserve"> </w:t>
      </w:r>
      <w:r w:rsidR="00AC05DC" w:rsidRPr="00892D84">
        <w:rPr>
          <w:lang w:val="en-AU"/>
        </w:rPr>
        <w:t>The fundamental principles behind NFM come</w:t>
      </w:r>
      <w:r w:rsidR="00C13F0C">
        <w:rPr>
          <w:lang w:val="en-AU"/>
        </w:rPr>
        <w:t>s</w:t>
      </w:r>
      <w:r w:rsidR="00AC05DC" w:rsidRPr="00892D84">
        <w:rPr>
          <w:lang w:val="en-AU"/>
        </w:rPr>
        <w:t xml:space="preserve"> from an understanding of these hydrological and hydraulic impacts on flooding processes and how we can redress them.</w:t>
      </w:r>
      <w:r w:rsidR="00BA5D22">
        <w:rPr>
          <w:lang w:val="en-AU"/>
        </w:rPr>
        <w:t xml:space="preserve"> </w:t>
      </w:r>
      <w:r w:rsidR="00CB7C68">
        <w:rPr>
          <w:lang w:val="en-AU"/>
        </w:rPr>
        <w:t xml:space="preserve"> </w:t>
      </w:r>
      <w:r w:rsidR="00277793" w:rsidRPr="006325D4">
        <w:t xml:space="preserve">NFM typically aims to </w:t>
      </w:r>
      <w:r w:rsidR="00277793">
        <w:t xml:space="preserve">influence </w:t>
      </w:r>
      <w:r w:rsidR="00277793" w:rsidRPr="006325D4">
        <w:t xml:space="preserve">hydrology and hydraulics via one (or more) of </w:t>
      </w:r>
      <w:r w:rsidR="00277793">
        <w:t xml:space="preserve">four </w:t>
      </w:r>
      <w:r w:rsidR="00277793" w:rsidRPr="006325D4">
        <w:t>mechanisms</w:t>
      </w:r>
      <w:r w:rsidR="00277793">
        <w:t>, summarised in</w:t>
      </w:r>
      <w:r w:rsidR="00277793" w:rsidRPr="009E62F5">
        <w:t xml:space="preserve"> </w:t>
      </w:r>
      <w:r w:rsidR="00277793" w:rsidRPr="009E62F5">
        <w:fldChar w:fldCharType="begin"/>
      </w:r>
      <w:r w:rsidR="00277793" w:rsidRPr="009E62F5">
        <w:instrText xml:space="preserve"> REF _Ref230261207 \h </w:instrText>
      </w:r>
      <w:r w:rsidR="00277793" w:rsidRPr="009E62F5">
        <w:fldChar w:fldCharType="separate"/>
      </w:r>
      <w:r w:rsidR="00277793" w:rsidRPr="009E62F5">
        <w:t xml:space="preserve">Table </w:t>
      </w:r>
      <w:r w:rsidR="00277793" w:rsidRPr="009E62F5">
        <w:rPr>
          <w:noProof/>
        </w:rPr>
        <w:t>1</w:t>
      </w:r>
      <w:r w:rsidR="00277793" w:rsidRPr="009E62F5">
        <w:fldChar w:fldCharType="end"/>
      </w:r>
      <w:r w:rsidR="00277793" w:rsidRPr="009E62F5">
        <w:t xml:space="preserve">. </w:t>
      </w:r>
      <w:r w:rsidR="00CB7C68">
        <w:rPr>
          <w:lang w:val="en-AU"/>
        </w:rPr>
        <w:t xml:space="preserve">       </w:t>
      </w:r>
    </w:p>
    <w:p w14:paraId="02D4EB22" w14:textId="7BDC9395" w:rsidR="00FD6572" w:rsidRDefault="00FD165F" w:rsidP="00125D81">
      <w:r w:rsidRPr="009E62F5">
        <w:t xml:space="preserve">Large-scale implementation of NFM is a costly exercise, and so it is important to understand the </w:t>
      </w:r>
      <w:r w:rsidR="009E62F5" w:rsidRPr="009E62F5">
        <w:t>scale of influence that</w:t>
      </w:r>
      <w:r w:rsidRPr="009E62F5">
        <w:t xml:space="preserve"> different NFM approaches </w:t>
      </w:r>
      <w:r w:rsidR="009E62F5">
        <w:t xml:space="preserve">can have </w:t>
      </w:r>
      <w:r>
        <w:t xml:space="preserve">on </w:t>
      </w:r>
      <w:r w:rsidR="00CC36AD">
        <w:t>downstream flood peaks</w:t>
      </w:r>
      <w:r w:rsidR="009E62F5">
        <w:t>.</w:t>
      </w:r>
      <w:r w:rsidR="006534AC">
        <w:t xml:space="preserve"> Alluvium Consulting undertook an extensive literature review for Council of Mayors (SEQ) investigating </w:t>
      </w:r>
      <w:r w:rsidR="0048472A">
        <w:t>the effectiveness of NFM approaches</w:t>
      </w:r>
      <w:r w:rsidR="00D56547">
        <w:t xml:space="preserve"> </w:t>
      </w:r>
      <w:r w:rsidR="006534AC">
        <w:t>(Alluvium Consulting</w:t>
      </w:r>
      <w:r w:rsidR="00142B1B">
        <w:t>, 202</w:t>
      </w:r>
      <w:r w:rsidR="00893368">
        <w:t>4</w:t>
      </w:r>
      <w:r w:rsidR="006534AC">
        <w:t xml:space="preserve">). </w:t>
      </w:r>
      <w:r w:rsidR="0030244F" w:rsidRPr="00C36576">
        <w:t xml:space="preserve">Whilst NFM is an area of growing research in </w:t>
      </w:r>
      <w:r w:rsidR="0030244F" w:rsidRPr="00D56547">
        <w:t xml:space="preserve">Australia, most </w:t>
      </w:r>
      <w:r w:rsidR="0030244F" w:rsidRPr="00AD49CC">
        <w:t xml:space="preserve">research on NFM has occurred overseas, with </w:t>
      </w:r>
      <w:proofErr w:type="gramStart"/>
      <w:r w:rsidR="0030244F" w:rsidRPr="00AD49CC">
        <w:t>the majority of</w:t>
      </w:r>
      <w:proofErr w:type="gramEnd"/>
      <w:r w:rsidR="0030244F" w:rsidRPr="00AD49CC">
        <w:t xml:space="preserve"> </w:t>
      </w:r>
      <w:r w:rsidR="0030244F" w:rsidRPr="000E6C92">
        <w:t xml:space="preserve">research coming </w:t>
      </w:r>
      <w:r w:rsidR="0030244F">
        <w:t>from</w:t>
      </w:r>
      <w:r w:rsidR="0030244F" w:rsidRPr="000E6C92">
        <w:t xml:space="preserve"> the UK and Europe. Most evidence for the effectiveness of NFM interventions is based on studies that have modelled impacts in small catchments less than 10 km</w:t>
      </w:r>
      <w:r w:rsidR="0030244F" w:rsidRPr="000E6C92">
        <w:rPr>
          <w:vertAlign w:val="superscript"/>
        </w:rPr>
        <w:t>2</w:t>
      </w:r>
      <w:r w:rsidR="0030244F" w:rsidRPr="000E6C92">
        <w:t xml:space="preserve"> (Nicholson et al., 2019; Wilkinson et al., 2019; </w:t>
      </w:r>
      <w:r w:rsidR="00FE3E63">
        <w:t>D</w:t>
      </w:r>
      <w:r w:rsidR="0030244F" w:rsidRPr="000E6C92">
        <w:t>adson et al., 2017)</w:t>
      </w:r>
      <w:r w:rsidR="000C699F">
        <w:t>, and e</w:t>
      </w:r>
      <w:r w:rsidR="0030244F">
        <w:t xml:space="preserve">xtrapolating findings from smaller catchments to the larger catchments of eastern Australia must be done so with </w:t>
      </w:r>
      <w:r w:rsidR="0030244F" w:rsidRPr="002E3114">
        <w:t>caution</w:t>
      </w:r>
      <w:r w:rsidR="0034084D" w:rsidRPr="002E3114">
        <w:t xml:space="preserve"> (Rinaldo et al., 1991; Pattison et al., 2014). </w:t>
      </w:r>
    </w:p>
    <w:p w14:paraId="5EABCA1F" w14:textId="4FC1A00D" w:rsidR="00125D81" w:rsidRPr="0013196A" w:rsidRDefault="00AD4575" w:rsidP="00125D81">
      <w:pPr>
        <w:rPr>
          <w:color w:val="000000" w:themeColor="text1"/>
        </w:rPr>
      </w:pPr>
      <w:r w:rsidRPr="002E3114">
        <w:t>A key finding of the review was that</w:t>
      </w:r>
      <w:r w:rsidR="00DB69A8" w:rsidRPr="002E3114">
        <w:t xml:space="preserve"> the effectiveness of</w:t>
      </w:r>
      <w:r w:rsidRPr="002E3114">
        <w:t xml:space="preserve"> different </w:t>
      </w:r>
      <w:r w:rsidR="006F3AD1" w:rsidRPr="002E3114">
        <w:t xml:space="preserve">NFM approaches </w:t>
      </w:r>
      <w:r w:rsidR="008B754F" w:rsidRPr="002E3114">
        <w:t>varies depending on the scale of flood</w:t>
      </w:r>
      <w:r w:rsidR="00142B1B" w:rsidRPr="002E3114">
        <w:t xml:space="preserve">, as summarised in </w:t>
      </w:r>
      <w:r w:rsidR="00142B1B" w:rsidRPr="002E3114">
        <w:fldChar w:fldCharType="begin"/>
      </w:r>
      <w:r w:rsidR="00142B1B" w:rsidRPr="002E3114">
        <w:instrText xml:space="preserve"> REF _Ref230261207 \h </w:instrText>
      </w:r>
      <w:r w:rsidR="00142B1B" w:rsidRPr="002E3114">
        <w:fldChar w:fldCharType="separate"/>
      </w:r>
      <w:r w:rsidR="00142B1B" w:rsidRPr="002E3114">
        <w:t xml:space="preserve">Table </w:t>
      </w:r>
      <w:r w:rsidR="00142B1B" w:rsidRPr="002E3114">
        <w:rPr>
          <w:noProof/>
        </w:rPr>
        <w:t>1</w:t>
      </w:r>
      <w:r w:rsidR="00142B1B" w:rsidRPr="002E3114">
        <w:fldChar w:fldCharType="end"/>
      </w:r>
      <w:r w:rsidR="00142B1B" w:rsidRPr="002E3114">
        <w:t>.</w:t>
      </w:r>
      <w:r w:rsidR="00EA0E69" w:rsidRPr="002E3114">
        <w:t xml:space="preserve"> </w:t>
      </w:r>
      <w:r w:rsidR="00540A40" w:rsidRPr="00540A40">
        <w:t xml:space="preserve">Importantly, </w:t>
      </w:r>
      <w:r w:rsidR="00540A40">
        <w:t xml:space="preserve">for large flood events, </w:t>
      </w:r>
      <w:r w:rsidR="00540A40" w:rsidRPr="00540A40">
        <w:t xml:space="preserve">maintaining widespread channel–floodplain connectivity in mid- and upper-catchment areas is critical for facilitating floodplain storage and attenuating </w:t>
      </w:r>
      <w:r w:rsidR="00540A40">
        <w:t xml:space="preserve">downstream </w:t>
      </w:r>
      <w:r w:rsidR="00540A40" w:rsidRPr="00540A40">
        <w:t>flood peaks</w:t>
      </w:r>
      <w:r w:rsidR="00540A40">
        <w:t xml:space="preserve">. </w:t>
      </w:r>
      <w:r w:rsidR="006D3F04" w:rsidRPr="00FD6572">
        <w:t xml:space="preserve">In extreme flood events, </w:t>
      </w:r>
      <w:proofErr w:type="spellStart"/>
      <w:r w:rsidR="006D3F04" w:rsidRPr="00FD6572">
        <w:t>desycnhronisation</w:t>
      </w:r>
      <w:proofErr w:type="spellEnd"/>
      <w:r w:rsidR="006D3F04" w:rsidRPr="00FD6572">
        <w:t xml:space="preserve"> of sub-catchment tributary flows is </w:t>
      </w:r>
      <w:r w:rsidR="00FD6572" w:rsidRPr="00FD6572">
        <w:t>critical</w:t>
      </w:r>
      <w:r w:rsidR="003B2E4F">
        <w:t xml:space="preserve"> (Lane, 2017)</w:t>
      </w:r>
      <w:r w:rsidR="006D3F04" w:rsidRPr="00FD6572">
        <w:t xml:space="preserve">, </w:t>
      </w:r>
      <w:bookmarkStart w:id="0" w:name="_Ref230261207"/>
      <w:r w:rsidR="00125D81" w:rsidRPr="00FD6572">
        <w:t xml:space="preserve">yet sub-catchment response </w:t>
      </w:r>
      <w:r w:rsidR="00FD6572" w:rsidRPr="00FD6572">
        <w:t xml:space="preserve">will always </w:t>
      </w:r>
      <w:r w:rsidR="00125D81" w:rsidRPr="00FD6572">
        <w:t xml:space="preserve">vary with space and time depending on the distribution of the extreme rainfall event, making it difficult to ensure </w:t>
      </w:r>
      <w:proofErr w:type="spellStart"/>
      <w:r w:rsidR="00125D81" w:rsidRPr="00FD6572">
        <w:t>desynchronisation</w:t>
      </w:r>
      <w:proofErr w:type="spellEnd"/>
      <w:r w:rsidR="00125D81" w:rsidRPr="00FD6572">
        <w:t xml:space="preserve"> occurs</w:t>
      </w:r>
      <w:r w:rsidR="00540A40">
        <w:t xml:space="preserve"> (Pattison et al., 2014)</w:t>
      </w:r>
      <w:r w:rsidR="00125D81" w:rsidRPr="00FD6572">
        <w:t>.</w:t>
      </w:r>
    </w:p>
    <w:p w14:paraId="189E05EF" w14:textId="7F75FE18" w:rsidR="00C04AE8" w:rsidRDefault="00C04AE8" w:rsidP="00125D81">
      <w:pPr>
        <w:spacing w:after="120"/>
        <w:rPr>
          <w:b/>
          <w:bCs/>
          <w:lang w:val="en-AU"/>
        </w:rPr>
      </w:pPr>
      <w:r>
        <w:br w:type="page"/>
      </w:r>
    </w:p>
    <w:p w14:paraId="318ABBD2" w14:textId="304336CE" w:rsidR="006325D4" w:rsidRPr="00EA0E69" w:rsidRDefault="006325D4" w:rsidP="00C81C16">
      <w:pPr>
        <w:pStyle w:val="Caption"/>
        <w:keepNext/>
        <w:spacing w:after="120"/>
        <w:rPr>
          <w:rFonts w:ascii="Times New Roman" w:hAnsi="Times New Roman" w:cs="Times New Roman"/>
          <w:sz w:val="22"/>
          <w:szCs w:val="22"/>
        </w:rPr>
      </w:pPr>
      <w:bookmarkStart w:id="1" w:name="_Ref235783118"/>
      <w:r w:rsidRPr="006325D4">
        <w:rPr>
          <w:rFonts w:ascii="Times New Roman" w:hAnsi="Times New Roman" w:cs="Times New Roman"/>
          <w:sz w:val="22"/>
          <w:szCs w:val="22"/>
        </w:rPr>
        <w:lastRenderedPageBreak/>
        <w:t xml:space="preserve">Table </w:t>
      </w:r>
      <w:r w:rsidRPr="006325D4">
        <w:rPr>
          <w:rFonts w:ascii="Times New Roman" w:hAnsi="Times New Roman" w:cs="Times New Roman"/>
          <w:sz w:val="22"/>
          <w:szCs w:val="22"/>
        </w:rPr>
        <w:fldChar w:fldCharType="begin"/>
      </w:r>
      <w:r w:rsidRPr="006325D4">
        <w:rPr>
          <w:rFonts w:ascii="Times New Roman" w:hAnsi="Times New Roman" w:cs="Times New Roman"/>
          <w:sz w:val="22"/>
          <w:szCs w:val="22"/>
        </w:rPr>
        <w:instrText xml:space="preserve"> SEQ Table \* ARABIC </w:instrText>
      </w:r>
      <w:r w:rsidRPr="006325D4">
        <w:rPr>
          <w:rFonts w:ascii="Times New Roman" w:hAnsi="Times New Roman" w:cs="Times New Roman"/>
          <w:sz w:val="22"/>
          <w:szCs w:val="22"/>
        </w:rPr>
        <w:fldChar w:fldCharType="separate"/>
      </w:r>
      <w:r w:rsidR="00661283">
        <w:rPr>
          <w:rFonts w:ascii="Times New Roman" w:hAnsi="Times New Roman" w:cs="Times New Roman"/>
          <w:noProof/>
          <w:sz w:val="22"/>
          <w:szCs w:val="22"/>
        </w:rPr>
        <w:t>1</w:t>
      </w:r>
      <w:r w:rsidRPr="006325D4">
        <w:rPr>
          <w:rFonts w:ascii="Times New Roman" w:hAnsi="Times New Roman" w:cs="Times New Roman"/>
          <w:sz w:val="22"/>
          <w:szCs w:val="22"/>
        </w:rPr>
        <w:fldChar w:fldCharType="end"/>
      </w:r>
      <w:bookmarkEnd w:id="0"/>
      <w:bookmarkEnd w:id="1"/>
      <w:r w:rsidR="009414B1">
        <w:rPr>
          <w:rFonts w:ascii="Times New Roman" w:hAnsi="Times New Roman" w:cs="Times New Roman"/>
          <w:sz w:val="22"/>
          <w:szCs w:val="22"/>
        </w:rPr>
        <w:t>. A summary of NFM mechanisms</w:t>
      </w:r>
      <w:r w:rsidR="00EA0E69">
        <w:rPr>
          <w:rFonts w:ascii="Times New Roman" w:hAnsi="Times New Roman" w:cs="Times New Roman"/>
          <w:sz w:val="22"/>
          <w:szCs w:val="22"/>
        </w:rPr>
        <w:t xml:space="preserve">, </w:t>
      </w:r>
      <w:r w:rsidR="00EA0E69" w:rsidRPr="00EA0E69">
        <w:rPr>
          <w:rFonts w:ascii="Times New Roman" w:hAnsi="Times New Roman" w:cs="Times New Roman"/>
          <w:sz w:val="22"/>
          <w:szCs w:val="22"/>
        </w:rPr>
        <w:t>typical management approaches</w:t>
      </w:r>
      <w:r w:rsidR="009414B1" w:rsidRPr="00EA0E69">
        <w:rPr>
          <w:rFonts w:ascii="Times New Roman" w:hAnsi="Times New Roman" w:cs="Times New Roman"/>
          <w:sz w:val="22"/>
          <w:szCs w:val="22"/>
        </w:rPr>
        <w:t xml:space="preserve"> and the</w:t>
      </w:r>
      <w:r w:rsidR="008F256F" w:rsidRPr="00EA0E69">
        <w:rPr>
          <w:rFonts w:ascii="Times New Roman" w:hAnsi="Times New Roman" w:cs="Times New Roman"/>
          <w:sz w:val="22"/>
          <w:szCs w:val="22"/>
        </w:rPr>
        <w:t xml:space="preserve"> scale of flooding </w:t>
      </w:r>
      <w:r w:rsidR="00EA0E69" w:rsidRPr="00EA0E69">
        <w:rPr>
          <w:rFonts w:ascii="Times New Roman" w:hAnsi="Times New Roman" w:cs="Times New Roman"/>
          <w:sz w:val="22"/>
          <w:szCs w:val="22"/>
        </w:rPr>
        <w:t>that they influence</w:t>
      </w:r>
      <w:r w:rsidR="009B2B54" w:rsidRPr="00EA0E69">
        <w:rPr>
          <w:rFonts w:ascii="Times New Roman" w:hAnsi="Times New Roman" w:cs="Times New Roman"/>
          <w:sz w:val="22"/>
          <w:szCs w:val="22"/>
        </w:rPr>
        <w:t xml:space="preserve"> (Alluvium, 202</w:t>
      </w:r>
      <w:r w:rsidR="00893368">
        <w:rPr>
          <w:rFonts w:ascii="Times New Roman" w:hAnsi="Times New Roman" w:cs="Times New Roman"/>
          <w:sz w:val="22"/>
          <w:szCs w:val="22"/>
        </w:rPr>
        <w:t>4</w:t>
      </w:r>
      <w:r w:rsidR="009B2B54" w:rsidRPr="00EA0E69">
        <w:rPr>
          <w:rFonts w:ascii="Times New Roman" w:hAnsi="Times New Roman" w:cs="Times New Roman"/>
          <w:sz w:val="22"/>
          <w:szCs w:val="22"/>
        </w:rPr>
        <w:t>)</w:t>
      </w:r>
      <w:r w:rsidR="008F256F" w:rsidRPr="00EA0E69">
        <w:rPr>
          <w:rFonts w:ascii="Times New Roman" w:hAnsi="Times New Roman" w:cs="Times New Roman"/>
          <w:sz w:val="22"/>
          <w:szCs w:val="22"/>
        </w:rPr>
        <w:t xml:space="preserve">. </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261"/>
        <w:gridCol w:w="3402"/>
        <w:gridCol w:w="3118"/>
      </w:tblGrid>
      <w:tr w:rsidR="00F82DDA" w:rsidRPr="006325D4" w14:paraId="7C2E5E65" w14:textId="6AB005F7" w:rsidTr="009F2293">
        <w:tc>
          <w:tcPr>
            <w:tcW w:w="3261" w:type="dxa"/>
            <w:shd w:val="clear" w:color="auto" w:fill="000000" w:themeFill="text1"/>
            <w:vAlign w:val="center"/>
          </w:tcPr>
          <w:p w14:paraId="1B461F26" w14:textId="6046D058" w:rsidR="00F82DDA" w:rsidRPr="006325D4" w:rsidRDefault="006325D4" w:rsidP="002C64B0">
            <w:pPr>
              <w:widowControl w:val="0"/>
              <w:autoSpaceDE w:val="0"/>
              <w:autoSpaceDN w:val="0"/>
              <w:adjustRightInd w:val="0"/>
              <w:spacing w:before="40" w:after="40" w:line="200" w:lineRule="exact"/>
              <w:rPr>
                <w:b/>
                <w:bCs/>
                <w:color w:val="FFFFFF" w:themeColor="background1"/>
                <w:lang w:val="en-AU"/>
              </w:rPr>
            </w:pPr>
            <w:r w:rsidRPr="006325D4">
              <w:rPr>
                <w:b/>
                <w:bCs/>
                <w:color w:val="FFFFFF" w:themeColor="background1"/>
                <w:lang w:val="en-AU"/>
              </w:rPr>
              <w:t>Mechanism</w:t>
            </w:r>
          </w:p>
        </w:tc>
        <w:tc>
          <w:tcPr>
            <w:tcW w:w="3402" w:type="dxa"/>
            <w:shd w:val="clear" w:color="auto" w:fill="000000" w:themeFill="text1"/>
            <w:vAlign w:val="center"/>
          </w:tcPr>
          <w:p w14:paraId="6C25AB6D" w14:textId="2EEA6EA7" w:rsidR="00F82DDA" w:rsidRPr="006325D4" w:rsidRDefault="006325D4" w:rsidP="002C64B0">
            <w:pPr>
              <w:widowControl w:val="0"/>
              <w:autoSpaceDE w:val="0"/>
              <w:autoSpaceDN w:val="0"/>
              <w:adjustRightInd w:val="0"/>
              <w:spacing w:before="40" w:after="40" w:line="200" w:lineRule="exact"/>
              <w:rPr>
                <w:b/>
                <w:bCs/>
                <w:color w:val="FFFFFF" w:themeColor="background1"/>
                <w:lang w:val="en-AU"/>
              </w:rPr>
            </w:pPr>
            <w:r w:rsidRPr="006325D4">
              <w:rPr>
                <w:b/>
                <w:bCs/>
                <w:color w:val="FFFFFF" w:themeColor="background1"/>
                <w:lang w:val="en-AU"/>
              </w:rPr>
              <w:t>Management approach</w:t>
            </w:r>
          </w:p>
        </w:tc>
        <w:tc>
          <w:tcPr>
            <w:tcW w:w="3118" w:type="dxa"/>
            <w:shd w:val="clear" w:color="auto" w:fill="000000" w:themeFill="text1"/>
            <w:vAlign w:val="center"/>
          </w:tcPr>
          <w:p w14:paraId="7DE1D05C" w14:textId="354035E9" w:rsidR="00F82DDA" w:rsidRPr="006325D4" w:rsidRDefault="00F82DDA" w:rsidP="002C64B0">
            <w:pPr>
              <w:widowControl w:val="0"/>
              <w:autoSpaceDE w:val="0"/>
              <w:autoSpaceDN w:val="0"/>
              <w:adjustRightInd w:val="0"/>
              <w:spacing w:before="40" w:after="40" w:line="200" w:lineRule="exact"/>
              <w:rPr>
                <w:b/>
                <w:bCs/>
                <w:color w:val="FFFFFF" w:themeColor="background1"/>
                <w:lang w:val="en-AU"/>
              </w:rPr>
            </w:pPr>
            <w:r w:rsidRPr="006325D4">
              <w:rPr>
                <w:b/>
                <w:bCs/>
                <w:color w:val="FFFFFF" w:themeColor="background1"/>
                <w:lang w:val="en-AU"/>
              </w:rPr>
              <w:t xml:space="preserve">Relevant </w:t>
            </w:r>
            <w:r w:rsidR="00BE441B" w:rsidRPr="006325D4">
              <w:rPr>
                <w:b/>
                <w:bCs/>
                <w:color w:val="FFFFFF" w:themeColor="background1"/>
                <w:lang w:val="en-AU"/>
              </w:rPr>
              <w:t>scale of flooding</w:t>
            </w:r>
            <w:r w:rsidR="00DD400B">
              <w:rPr>
                <w:b/>
                <w:bCs/>
                <w:color w:val="FFFFFF" w:themeColor="background1"/>
                <w:lang w:val="en-AU"/>
              </w:rPr>
              <w:t xml:space="preserve"> </w:t>
            </w:r>
          </w:p>
        </w:tc>
      </w:tr>
      <w:tr w:rsidR="00F82DDA" w:rsidRPr="006325D4" w14:paraId="152DDEDA" w14:textId="25C1DFC6" w:rsidTr="0067044E">
        <w:trPr>
          <w:trHeight w:val="225"/>
        </w:trPr>
        <w:tc>
          <w:tcPr>
            <w:tcW w:w="3261" w:type="dxa"/>
            <w:vAlign w:val="center"/>
          </w:tcPr>
          <w:p w14:paraId="19E834D1" w14:textId="0BCFBB58" w:rsidR="00F82DDA" w:rsidRPr="006325D4" w:rsidRDefault="00A04CB5" w:rsidP="0067044E">
            <w:pPr>
              <w:widowControl w:val="0"/>
              <w:autoSpaceDE w:val="0"/>
              <w:autoSpaceDN w:val="0"/>
              <w:adjustRightInd w:val="0"/>
              <w:spacing w:before="40" w:after="40" w:line="200" w:lineRule="exact"/>
              <w:rPr>
                <w:color w:val="000000"/>
                <w:lang w:val="en-AU"/>
              </w:rPr>
            </w:pPr>
            <w:r>
              <w:rPr>
                <w:color w:val="000000" w:themeColor="text1"/>
              </w:rPr>
              <w:t xml:space="preserve">1) </w:t>
            </w:r>
            <w:r w:rsidR="001F0A2D" w:rsidRPr="006325D4">
              <w:rPr>
                <w:color w:val="000000" w:themeColor="text1"/>
              </w:rPr>
              <w:t>I</w:t>
            </w:r>
            <w:r w:rsidR="00F82DDA" w:rsidRPr="006325D4">
              <w:rPr>
                <w:color w:val="000000" w:themeColor="text1"/>
              </w:rPr>
              <w:t xml:space="preserve">ncreasing </w:t>
            </w:r>
            <w:r w:rsidR="00F82DDA" w:rsidRPr="00B2751E">
              <w:rPr>
                <w:b/>
                <w:bCs/>
                <w:color w:val="000000" w:themeColor="text1"/>
              </w:rPr>
              <w:t>infiltration</w:t>
            </w:r>
            <w:r w:rsidR="00F82DDA" w:rsidRPr="006325D4">
              <w:rPr>
                <w:color w:val="000000" w:themeColor="text1"/>
              </w:rPr>
              <w:t xml:space="preserve"> and storage in </w:t>
            </w:r>
            <w:proofErr w:type="gramStart"/>
            <w:r w:rsidR="00F82DDA" w:rsidRPr="006325D4">
              <w:rPr>
                <w:color w:val="000000" w:themeColor="text1"/>
              </w:rPr>
              <w:t>soils</w:t>
            </w:r>
            <w:proofErr w:type="gramEnd"/>
            <w:r w:rsidR="00F82DDA" w:rsidRPr="006325D4">
              <w:rPr>
                <w:color w:val="000000" w:themeColor="text1"/>
              </w:rPr>
              <w:t xml:space="preserve"> and headwaters</w:t>
            </w:r>
          </w:p>
        </w:tc>
        <w:tc>
          <w:tcPr>
            <w:tcW w:w="3402" w:type="dxa"/>
            <w:vAlign w:val="center"/>
          </w:tcPr>
          <w:p w14:paraId="7C3EED98" w14:textId="1BFCD6C0" w:rsidR="00F82DDA" w:rsidRPr="006325D4" w:rsidRDefault="00C8468B"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sz w:val="22"/>
                <w:szCs w:val="22"/>
              </w:rPr>
            </w:pPr>
            <w:r w:rsidRPr="006325D4">
              <w:rPr>
                <w:rFonts w:ascii="Times New Roman" w:hAnsi="Times New Roman" w:cs="Times New Roman"/>
                <w:color w:val="000000" w:themeColor="text1"/>
                <w:sz w:val="22"/>
                <w:szCs w:val="22"/>
              </w:rPr>
              <w:t>R</w:t>
            </w:r>
            <w:r w:rsidR="00F82DDA" w:rsidRPr="006325D4">
              <w:rPr>
                <w:rFonts w:ascii="Times New Roman" w:hAnsi="Times New Roman" w:cs="Times New Roman"/>
                <w:color w:val="000000" w:themeColor="text1"/>
                <w:sz w:val="22"/>
                <w:szCs w:val="22"/>
              </w:rPr>
              <w:t>eforestation</w:t>
            </w:r>
          </w:p>
        </w:tc>
        <w:tc>
          <w:tcPr>
            <w:tcW w:w="3118" w:type="dxa"/>
            <w:vAlign w:val="center"/>
          </w:tcPr>
          <w:p w14:paraId="7BC75872" w14:textId="77777777" w:rsidR="003E3B87" w:rsidRPr="006325D4" w:rsidRDefault="003E3B87" w:rsidP="0067044E">
            <w:pPr>
              <w:pStyle w:val="Heading2"/>
              <w:spacing w:before="40" w:after="40"/>
              <w:rPr>
                <w:rFonts w:cs="Times New Roman"/>
                <w:sz w:val="22"/>
                <w:szCs w:val="22"/>
              </w:rPr>
            </w:pPr>
            <w:r w:rsidRPr="006325D4">
              <w:rPr>
                <w:rFonts w:cs="Times New Roman"/>
                <w:sz w:val="22"/>
                <w:szCs w:val="22"/>
              </w:rPr>
              <w:t xml:space="preserve">Small flood events </w:t>
            </w:r>
          </w:p>
          <w:p w14:paraId="19B26734" w14:textId="77DE1672" w:rsidR="00F82DDA" w:rsidRPr="006325D4" w:rsidRDefault="00C8468B" w:rsidP="0067044E">
            <w:pPr>
              <w:widowControl w:val="0"/>
              <w:autoSpaceDE w:val="0"/>
              <w:autoSpaceDN w:val="0"/>
              <w:adjustRightInd w:val="0"/>
              <w:spacing w:before="40" w:after="40" w:line="200" w:lineRule="exact"/>
              <w:rPr>
                <w:color w:val="000000"/>
                <w:lang w:val="en-AU"/>
              </w:rPr>
            </w:pPr>
            <w:r w:rsidRPr="006325D4">
              <w:t>~</w:t>
            </w:r>
            <w:r w:rsidR="003E3B87" w:rsidRPr="006325D4">
              <w:t xml:space="preserve"> 1 to 10-year ARI</w:t>
            </w:r>
          </w:p>
        </w:tc>
      </w:tr>
      <w:tr w:rsidR="00F82DDA" w:rsidRPr="006325D4" w14:paraId="37B53D3C" w14:textId="025674B0" w:rsidTr="009F2293">
        <w:tc>
          <w:tcPr>
            <w:tcW w:w="3261" w:type="dxa"/>
            <w:vAlign w:val="center"/>
          </w:tcPr>
          <w:p w14:paraId="1BCB03C6" w14:textId="0F3D8CB5" w:rsidR="00F82DDA" w:rsidRPr="006325D4" w:rsidRDefault="00A04CB5" w:rsidP="0067044E">
            <w:pPr>
              <w:widowControl w:val="0"/>
              <w:autoSpaceDE w:val="0"/>
              <w:autoSpaceDN w:val="0"/>
              <w:adjustRightInd w:val="0"/>
              <w:spacing w:before="40" w:after="40" w:line="200" w:lineRule="exact"/>
              <w:rPr>
                <w:color w:val="000000"/>
                <w:lang w:val="en-AU"/>
              </w:rPr>
            </w:pPr>
            <w:r>
              <w:rPr>
                <w:color w:val="000000" w:themeColor="text1"/>
              </w:rPr>
              <w:t xml:space="preserve">2) </w:t>
            </w:r>
            <w:r w:rsidR="00962FCE" w:rsidRPr="006325D4">
              <w:rPr>
                <w:color w:val="000000" w:themeColor="text1"/>
              </w:rPr>
              <w:t>S</w:t>
            </w:r>
            <w:r w:rsidR="00F82DDA" w:rsidRPr="006325D4">
              <w:rPr>
                <w:color w:val="000000" w:themeColor="text1"/>
              </w:rPr>
              <w:t xml:space="preserve">lowing conveyance within channels by increasing </w:t>
            </w:r>
            <w:r w:rsidR="00F82DDA" w:rsidRPr="00B2751E">
              <w:rPr>
                <w:b/>
                <w:bCs/>
                <w:color w:val="000000" w:themeColor="text1"/>
              </w:rPr>
              <w:t>hydraulic roughness</w:t>
            </w:r>
          </w:p>
        </w:tc>
        <w:tc>
          <w:tcPr>
            <w:tcW w:w="3402" w:type="dxa"/>
            <w:vAlign w:val="center"/>
          </w:tcPr>
          <w:p w14:paraId="074E76C6" w14:textId="77777777" w:rsidR="00C8468B" w:rsidRPr="006325D4" w:rsidRDefault="00962FCE"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themeColor="text1"/>
                <w:sz w:val="22"/>
                <w:szCs w:val="22"/>
              </w:rPr>
            </w:pPr>
            <w:r w:rsidRPr="006325D4">
              <w:rPr>
                <w:rFonts w:ascii="Times New Roman" w:hAnsi="Times New Roman" w:cs="Times New Roman"/>
                <w:color w:val="000000" w:themeColor="text1"/>
                <w:sz w:val="22"/>
                <w:szCs w:val="22"/>
              </w:rPr>
              <w:t>R</w:t>
            </w:r>
            <w:r w:rsidR="00F82DDA" w:rsidRPr="006325D4">
              <w:rPr>
                <w:rFonts w:ascii="Times New Roman" w:hAnsi="Times New Roman" w:cs="Times New Roman"/>
                <w:color w:val="000000" w:themeColor="text1"/>
                <w:sz w:val="22"/>
                <w:szCs w:val="22"/>
              </w:rPr>
              <w:t>iparian revegetation</w:t>
            </w:r>
          </w:p>
          <w:p w14:paraId="565C8DB5" w14:textId="682F517C" w:rsidR="00F82DDA" w:rsidRPr="006325D4" w:rsidRDefault="00C8468B"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themeColor="text1"/>
                <w:sz w:val="22"/>
                <w:szCs w:val="22"/>
                <w:lang w:val="en-US"/>
              </w:rPr>
            </w:pPr>
            <w:r w:rsidRPr="006325D4">
              <w:rPr>
                <w:rFonts w:ascii="Times New Roman" w:hAnsi="Times New Roman" w:cs="Times New Roman"/>
                <w:color w:val="000000" w:themeColor="text1"/>
                <w:sz w:val="22"/>
                <w:szCs w:val="22"/>
              </w:rPr>
              <w:t>I</w:t>
            </w:r>
            <w:r w:rsidR="00F82DDA" w:rsidRPr="006325D4">
              <w:rPr>
                <w:rFonts w:ascii="Times New Roman" w:hAnsi="Times New Roman" w:cs="Times New Roman"/>
                <w:color w:val="000000" w:themeColor="text1"/>
                <w:sz w:val="22"/>
                <w:szCs w:val="22"/>
              </w:rPr>
              <w:t>nstream structures (e.g. leaky weirs or engineered log jams)</w:t>
            </w:r>
          </w:p>
        </w:tc>
        <w:tc>
          <w:tcPr>
            <w:tcW w:w="3118" w:type="dxa"/>
            <w:vAlign w:val="center"/>
          </w:tcPr>
          <w:p w14:paraId="375FF5C6" w14:textId="65EBB9BF" w:rsidR="00380BD5" w:rsidRPr="000A18AD" w:rsidRDefault="00380BD5" w:rsidP="0067044E">
            <w:pPr>
              <w:pStyle w:val="Heading2"/>
              <w:spacing w:before="40" w:after="40"/>
              <w:rPr>
                <w:rFonts w:cs="Times New Roman"/>
                <w:sz w:val="22"/>
                <w:szCs w:val="22"/>
              </w:rPr>
            </w:pPr>
            <w:r w:rsidRPr="006325D4">
              <w:rPr>
                <w:rFonts w:cs="Times New Roman"/>
                <w:sz w:val="22"/>
                <w:szCs w:val="22"/>
              </w:rPr>
              <w:t xml:space="preserve">Small </w:t>
            </w:r>
            <w:r w:rsidR="00BD49AC">
              <w:rPr>
                <w:rFonts w:cs="Times New Roman"/>
                <w:sz w:val="22"/>
                <w:szCs w:val="22"/>
              </w:rPr>
              <w:t xml:space="preserve">- </w:t>
            </w:r>
            <w:r w:rsidR="007C5645">
              <w:rPr>
                <w:rFonts w:cs="Times New Roman"/>
                <w:sz w:val="22"/>
                <w:szCs w:val="22"/>
              </w:rPr>
              <w:t xml:space="preserve">moderate </w:t>
            </w:r>
            <w:r w:rsidRPr="006325D4">
              <w:rPr>
                <w:rFonts w:cs="Times New Roman"/>
                <w:sz w:val="22"/>
                <w:szCs w:val="22"/>
              </w:rPr>
              <w:t xml:space="preserve">flood events </w:t>
            </w:r>
            <w:r w:rsidR="007C5645">
              <w:rPr>
                <w:rFonts w:cs="Times New Roman"/>
                <w:sz w:val="22"/>
                <w:szCs w:val="22"/>
              </w:rPr>
              <w:t>equivalent to bankfull flow</w:t>
            </w:r>
            <w:r w:rsidR="003B2E4F">
              <w:rPr>
                <w:rFonts w:cs="Times New Roman"/>
                <w:sz w:val="22"/>
                <w:szCs w:val="22"/>
              </w:rPr>
              <w:t>*</w:t>
            </w:r>
          </w:p>
          <w:p w14:paraId="1D107343" w14:textId="77777777" w:rsidR="00A91F02" w:rsidRDefault="00A91F02" w:rsidP="0067044E">
            <w:pPr>
              <w:widowControl w:val="0"/>
              <w:autoSpaceDE w:val="0"/>
              <w:autoSpaceDN w:val="0"/>
              <w:adjustRightInd w:val="0"/>
              <w:spacing w:before="40" w:after="40" w:line="200" w:lineRule="exact"/>
            </w:pPr>
            <w:r>
              <w:t xml:space="preserve">Variable, but estimated at </w:t>
            </w:r>
          </w:p>
          <w:p w14:paraId="49C73517" w14:textId="72B10809" w:rsidR="00F82DDA" w:rsidRPr="000A18AD" w:rsidRDefault="00C8468B" w:rsidP="0067044E">
            <w:pPr>
              <w:widowControl w:val="0"/>
              <w:autoSpaceDE w:val="0"/>
              <w:autoSpaceDN w:val="0"/>
              <w:adjustRightInd w:val="0"/>
              <w:spacing w:before="40" w:after="40" w:line="200" w:lineRule="exact"/>
            </w:pPr>
            <w:r w:rsidRPr="006325D4">
              <w:t>~</w:t>
            </w:r>
            <w:r w:rsidR="00380BD5" w:rsidRPr="006325D4">
              <w:t xml:space="preserve"> 1 to 10-year ARI</w:t>
            </w:r>
            <w:r w:rsidR="00BD49AC">
              <w:t xml:space="preserve"> </w:t>
            </w:r>
          </w:p>
        </w:tc>
      </w:tr>
      <w:tr w:rsidR="00F82DDA" w:rsidRPr="004062BD" w14:paraId="23DA755D" w14:textId="2BEEE2C2" w:rsidTr="009F2293">
        <w:trPr>
          <w:trHeight w:val="366"/>
        </w:trPr>
        <w:tc>
          <w:tcPr>
            <w:tcW w:w="3261" w:type="dxa"/>
            <w:vAlign w:val="center"/>
          </w:tcPr>
          <w:p w14:paraId="6153C051" w14:textId="77777777" w:rsidR="00F82DDA" w:rsidRDefault="00A04CB5" w:rsidP="0067044E">
            <w:pPr>
              <w:widowControl w:val="0"/>
              <w:autoSpaceDE w:val="0"/>
              <w:autoSpaceDN w:val="0"/>
              <w:adjustRightInd w:val="0"/>
              <w:spacing w:before="40" w:after="40" w:line="200" w:lineRule="exact"/>
              <w:rPr>
                <w:b/>
                <w:bCs/>
                <w:color w:val="000000" w:themeColor="text1"/>
              </w:rPr>
            </w:pPr>
            <w:r>
              <w:rPr>
                <w:color w:val="000000" w:themeColor="text1"/>
              </w:rPr>
              <w:t xml:space="preserve">3) </w:t>
            </w:r>
            <w:r w:rsidR="00C8468B">
              <w:rPr>
                <w:color w:val="000000" w:themeColor="text1"/>
              </w:rPr>
              <w:t>R</w:t>
            </w:r>
            <w:r w:rsidR="00F82DDA" w:rsidRPr="00C8468B">
              <w:rPr>
                <w:color w:val="000000" w:themeColor="text1"/>
              </w:rPr>
              <w:t xml:space="preserve">e-engaging floodplains and increasing </w:t>
            </w:r>
            <w:r w:rsidR="00F82DDA" w:rsidRPr="00B2751E">
              <w:rPr>
                <w:b/>
                <w:bCs/>
                <w:color w:val="000000" w:themeColor="text1"/>
              </w:rPr>
              <w:t>floodplain storage</w:t>
            </w:r>
            <w:r w:rsidR="00B27DBA">
              <w:rPr>
                <w:b/>
                <w:bCs/>
                <w:color w:val="000000" w:themeColor="text1"/>
              </w:rPr>
              <w:t xml:space="preserve"> </w:t>
            </w:r>
          </w:p>
          <w:p w14:paraId="3EFAF087" w14:textId="0F64BEC6" w:rsidR="00B27DBA" w:rsidRPr="008828BE" w:rsidRDefault="00B27DBA" w:rsidP="0067044E">
            <w:pPr>
              <w:widowControl w:val="0"/>
              <w:autoSpaceDE w:val="0"/>
              <w:autoSpaceDN w:val="0"/>
              <w:adjustRightInd w:val="0"/>
              <w:spacing w:before="40" w:after="40" w:line="200" w:lineRule="exact"/>
              <w:rPr>
                <w:color w:val="000000"/>
                <w:lang w:val="en-AU"/>
              </w:rPr>
            </w:pPr>
            <w:r w:rsidRPr="008828BE">
              <w:rPr>
                <w:color w:val="000000"/>
                <w:lang w:val="en-AU"/>
              </w:rPr>
              <w:t xml:space="preserve">(i.e. temporary retention of </w:t>
            </w:r>
            <w:r w:rsidR="008828BE">
              <w:rPr>
                <w:color w:val="000000"/>
                <w:lang w:val="en-AU"/>
              </w:rPr>
              <w:t>floodwaters on floodplains, reducing the volume of water moving downstream)</w:t>
            </w:r>
          </w:p>
        </w:tc>
        <w:tc>
          <w:tcPr>
            <w:tcW w:w="3402" w:type="dxa"/>
            <w:vAlign w:val="center"/>
          </w:tcPr>
          <w:p w14:paraId="5E6200FF" w14:textId="77777777" w:rsidR="00C8468B" w:rsidRPr="00C8468B" w:rsidRDefault="00C8468B"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themeColor="text1"/>
                <w:sz w:val="22"/>
                <w:szCs w:val="22"/>
              </w:rPr>
            </w:pPr>
            <w:r w:rsidRPr="00C8468B">
              <w:rPr>
                <w:rFonts w:ascii="Times New Roman" w:hAnsi="Times New Roman" w:cs="Times New Roman"/>
                <w:color w:val="000000" w:themeColor="text1"/>
                <w:sz w:val="22"/>
                <w:szCs w:val="22"/>
              </w:rPr>
              <w:t>W</w:t>
            </w:r>
            <w:r w:rsidR="00F82DDA" w:rsidRPr="00C8468B">
              <w:rPr>
                <w:rFonts w:ascii="Times New Roman" w:hAnsi="Times New Roman" w:cs="Times New Roman"/>
                <w:color w:val="000000" w:themeColor="text1"/>
                <w:sz w:val="22"/>
                <w:szCs w:val="22"/>
              </w:rPr>
              <w:t>etland rehabilitation</w:t>
            </w:r>
          </w:p>
          <w:p w14:paraId="11DE0D11" w14:textId="255756E1" w:rsidR="00C8468B" w:rsidRPr="00C8468B" w:rsidRDefault="00C8468B"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themeColor="text1"/>
                <w:sz w:val="22"/>
                <w:szCs w:val="22"/>
              </w:rPr>
            </w:pPr>
            <w:r w:rsidRPr="00C8468B">
              <w:rPr>
                <w:rFonts w:ascii="Times New Roman" w:hAnsi="Times New Roman" w:cs="Times New Roman"/>
                <w:color w:val="000000" w:themeColor="text1"/>
                <w:sz w:val="22"/>
                <w:szCs w:val="22"/>
              </w:rPr>
              <w:t>L</w:t>
            </w:r>
            <w:r w:rsidR="00F82DDA" w:rsidRPr="00C8468B">
              <w:rPr>
                <w:rFonts w:ascii="Times New Roman" w:hAnsi="Times New Roman" w:cs="Times New Roman"/>
                <w:color w:val="000000" w:themeColor="text1"/>
                <w:sz w:val="22"/>
                <w:szCs w:val="22"/>
              </w:rPr>
              <w:t>evee removal</w:t>
            </w:r>
          </w:p>
          <w:p w14:paraId="0A523DD5" w14:textId="5F225874" w:rsidR="00C8468B" w:rsidRPr="00C8468B" w:rsidRDefault="00D122A2"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O</w:t>
            </w:r>
            <w:r w:rsidR="00F82DDA" w:rsidRPr="00C8468B">
              <w:rPr>
                <w:rFonts w:ascii="Times New Roman" w:hAnsi="Times New Roman" w:cs="Times New Roman"/>
                <w:color w:val="000000" w:themeColor="text1"/>
                <w:sz w:val="22"/>
                <w:szCs w:val="22"/>
              </w:rPr>
              <w:t xml:space="preserve">verland flow interception </w:t>
            </w:r>
            <w:r w:rsidR="00C8468B" w:rsidRPr="00C8468B">
              <w:rPr>
                <w:rFonts w:ascii="Times New Roman" w:hAnsi="Times New Roman" w:cs="Times New Roman"/>
                <w:color w:val="000000" w:themeColor="text1"/>
                <w:sz w:val="22"/>
                <w:szCs w:val="22"/>
              </w:rPr>
              <w:t>bunds (‘</w:t>
            </w:r>
            <w:r w:rsidR="00F82DDA" w:rsidRPr="00C8468B">
              <w:rPr>
                <w:rFonts w:ascii="Times New Roman" w:hAnsi="Times New Roman" w:cs="Times New Roman"/>
                <w:color w:val="000000" w:themeColor="text1"/>
                <w:sz w:val="22"/>
                <w:szCs w:val="22"/>
              </w:rPr>
              <w:t xml:space="preserve">floodplain </w:t>
            </w:r>
            <w:proofErr w:type="gramStart"/>
            <w:r w:rsidR="00F82DDA" w:rsidRPr="00C8468B">
              <w:rPr>
                <w:rFonts w:ascii="Times New Roman" w:hAnsi="Times New Roman" w:cs="Times New Roman"/>
                <w:color w:val="000000" w:themeColor="text1"/>
                <w:sz w:val="22"/>
                <w:szCs w:val="22"/>
              </w:rPr>
              <w:t>bunds</w:t>
            </w:r>
            <w:r w:rsidR="00C8468B" w:rsidRPr="00C8468B">
              <w:rPr>
                <w:rFonts w:ascii="Times New Roman" w:hAnsi="Times New Roman" w:cs="Times New Roman"/>
                <w:color w:val="000000" w:themeColor="text1"/>
                <w:sz w:val="22"/>
                <w:szCs w:val="22"/>
              </w:rPr>
              <w:t>’</w:t>
            </w:r>
            <w:proofErr w:type="gramEnd"/>
            <w:r w:rsidR="00F82DDA" w:rsidRPr="00C8468B">
              <w:rPr>
                <w:rFonts w:ascii="Times New Roman" w:hAnsi="Times New Roman" w:cs="Times New Roman"/>
                <w:color w:val="000000" w:themeColor="text1"/>
                <w:sz w:val="22"/>
                <w:szCs w:val="22"/>
              </w:rPr>
              <w:t>)</w:t>
            </w:r>
          </w:p>
          <w:p w14:paraId="3BEA3AB1" w14:textId="296898A1" w:rsidR="00F82DDA" w:rsidRPr="00C8468B" w:rsidRDefault="00D122A2"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sz w:val="22"/>
                <w:szCs w:val="22"/>
              </w:rPr>
            </w:pPr>
            <w:r>
              <w:rPr>
                <w:rFonts w:ascii="Times New Roman" w:hAnsi="Times New Roman" w:cs="Times New Roman"/>
                <w:color w:val="000000" w:themeColor="text1"/>
                <w:sz w:val="22"/>
                <w:szCs w:val="22"/>
              </w:rPr>
              <w:t>F</w:t>
            </w:r>
            <w:r w:rsidR="00F82DDA" w:rsidRPr="00C8468B">
              <w:rPr>
                <w:rFonts w:ascii="Times New Roman" w:hAnsi="Times New Roman" w:cs="Times New Roman"/>
                <w:color w:val="000000" w:themeColor="text1"/>
                <w:sz w:val="22"/>
                <w:szCs w:val="22"/>
              </w:rPr>
              <w:t>loodplain revegetation</w:t>
            </w:r>
          </w:p>
        </w:tc>
        <w:tc>
          <w:tcPr>
            <w:tcW w:w="3118" w:type="dxa"/>
            <w:vAlign w:val="center"/>
          </w:tcPr>
          <w:p w14:paraId="1A2D7AA4" w14:textId="1A92F342" w:rsidR="00380BD5" w:rsidRPr="00C8468B" w:rsidRDefault="00962FCE" w:rsidP="0067044E">
            <w:pPr>
              <w:pStyle w:val="Heading2"/>
              <w:spacing w:before="40" w:after="40"/>
              <w:rPr>
                <w:sz w:val="22"/>
                <w:szCs w:val="22"/>
              </w:rPr>
            </w:pPr>
            <w:r w:rsidRPr="00C8468B">
              <w:rPr>
                <w:sz w:val="22"/>
                <w:szCs w:val="22"/>
              </w:rPr>
              <w:t xml:space="preserve">Large </w:t>
            </w:r>
            <w:r w:rsidR="00380BD5" w:rsidRPr="00C8468B">
              <w:rPr>
                <w:sz w:val="22"/>
                <w:szCs w:val="22"/>
              </w:rPr>
              <w:t xml:space="preserve">flood events </w:t>
            </w:r>
          </w:p>
          <w:p w14:paraId="067DFA1B" w14:textId="768933EF" w:rsidR="00F82DDA" w:rsidRPr="00C8468B" w:rsidRDefault="00C8468B" w:rsidP="0067044E">
            <w:pPr>
              <w:widowControl w:val="0"/>
              <w:autoSpaceDE w:val="0"/>
              <w:autoSpaceDN w:val="0"/>
              <w:adjustRightInd w:val="0"/>
              <w:spacing w:before="40" w:after="40" w:line="200" w:lineRule="exact"/>
              <w:rPr>
                <w:color w:val="000000"/>
                <w:lang w:val="en-AU"/>
              </w:rPr>
            </w:pPr>
            <w:r>
              <w:t xml:space="preserve">~ </w:t>
            </w:r>
            <w:r w:rsidR="00380BD5" w:rsidRPr="00C8468B">
              <w:t>20 to 100-year ARI events</w:t>
            </w:r>
          </w:p>
        </w:tc>
      </w:tr>
      <w:tr w:rsidR="0087676E" w:rsidRPr="004062BD" w14:paraId="4253A62D" w14:textId="77777777" w:rsidTr="009F2293">
        <w:trPr>
          <w:trHeight w:val="366"/>
        </w:trPr>
        <w:tc>
          <w:tcPr>
            <w:tcW w:w="3261" w:type="dxa"/>
            <w:vAlign w:val="center"/>
          </w:tcPr>
          <w:p w14:paraId="6E364A3C" w14:textId="0D051D6D" w:rsidR="00B2751E" w:rsidRDefault="00A04CB5" w:rsidP="0067044E">
            <w:pPr>
              <w:widowControl w:val="0"/>
              <w:autoSpaceDE w:val="0"/>
              <w:autoSpaceDN w:val="0"/>
              <w:adjustRightInd w:val="0"/>
              <w:spacing w:before="40" w:after="40" w:line="200" w:lineRule="exact"/>
              <w:rPr>
                <w:color w:val="000000" w:themeColor="text1"/>
              </w:rPr>
            </w:pPr>
            <w:r>
              <w:rPr>
                <w:color w:val="000000" w:themeColor="text1"/>
              </w:rPr>
              <w:t xml:space="preserve">4) </w:t>
            </w:r>
            <w:r w:rsidR="0087676E" w:rsidRPr="00B2751E">
              <w:rPr>
                <w:b/>
                <w:bCs/>
                <w:color w:val="000000" w:themeColor="text1"/>
              </w:rPr>
              <w:t>Desynchronisation</w:t>
            </w:r>
            <w:r w:rsidR="0087676E" w:rsidRPr="00C8468B">
              <w:rPr>
                <w:color w:val="000000" w:themeColor="text1"/>
              </w:rPr>
              <w:t xml:space="preserve"> of sub-catchment flood peaks</w:t>
            </w:r>
            <w:r w:rsidR="00296488" w:rsidRPr="00C8468B">
              <w:rPr>
                <w:color w:val="000000" w:themeColor="text1"/>
              </w:rPr>
              <w:t xml:space="preserve"> </w:t>
            </w:r>
          </w:p>
          <w:p w14:paraId="52A82363" w14:textId="4D4F171B" w:rsidR="0087676E" w:rsidRPr="00C8468B" w:rsidRDefault="00296488" w:rsidP="0067044E">
            <w:pPr>
              <w:widowControl w:val="0"/>
              <w:autoSpaceDE w:val="0"/>
              <w:autoSpaceDN w:val="0"/>
              <w:adjustRightInd w:val="0"/>
              <w:spacing w:before="40" w:after="40" w:line="200" w:lineRule="exact"/>
              <w:rPr>
                <w:color w:val="000000" w:themeColor="text1"/>
              </w:rPr>
            </w:pPr>
            <w:r w:rsidRPr="00C8468B">
              <w:rPr>
                <w:color w:val="000000" w:themeColor="text1"/>
              </w:rPr>
              <w:t>(i.e. slowing and staggering flood waves from different sub-catchments to prevent their coincidence downstream)</w:t>
            </w:r>
          </w:p>
        </w:tc>
        <w:tc>
          <w:tcPr>
            <w:tcW w:w="3402" w:type="dxa"/>
            <w:vAlign w:val="center"/>
          </w:tcPr>
          <w:p w14:paraId="17627E69" w14:textId="368B53D9" w:rsidR="0087676E" w:rsidRPr="00C8468B" w:rsidRDefault="00271D74" w:rsidP="0067044E">
            <w:pPr>
              <w:pStyle w:val="ListParagraph"/>
              <w:widowControl w:val="0"/>
              <w:numPr>
                <w:ilvl w:val="0"/>
                <w:numId w:val="30"/>
              </w:numPr>
              <w:autoSpaceDE w:val="0"/>
              <w:autoSpaceDN w:val="0"/>
              <w:adjustRightInd w:val="0"/>
              <w:spacing w:before="40" w:after="40" w:line="200" w:lineRule="exact"/>
              <w:ind w:left="360"/>
              <w:rPr>
                <w:rFonts w:ascii="Times New Roman" w:hAnsi="Times New Roman" w:cs="Times New Roman"/>
                <w:color w:val="000000" w:themeColor="text1"/>
                <w:sz w:val="22"/>
                <w:szCs w:val="22"/>
              </w:rPr>
            </w:pPr>
            <w:r w:rsidRPr="00C8468B">
              <w:rPr>
                <w:rFonts w:ascii="Times New Roman" w:hAnsi="Times New Roman" w:cs="Times New Roman"/>
                <w:color w:val="000000" w:themeColor="text1"/>
                <w:sz w:val="22"/>
                <w:szCs w:val="22"/>
              </w:rPr>
              <w:t>C</w:t>
            </w:r>
            <w:r w:rsidR="00113532" w:rsidRPr="00C8468B">
              <w:rPr>
                <w:rFonts w:ascii="Times New Roman" w:hAnsi="Times New Roman" w:cs="Times New Roman"/>
                <w:color w:val="000000" w:themeColor="text1"/>
                <w:sz w:val="22"/>
                <w:szCs w:val="22"/>
              </w:rPr>
              <w:t>oordinated, catchment-scale interventions, including widespread floodplain re-engagement in mid and upper catchment</w:t>
            </w:r>
            <w:r w:rsidR="00C8468B" w:rsidRPr="00C8468B">
              <w:rPr>
                <w:rFonts w:ascii="Times New Roman" w:hAnsi="Times New Roman" w:cs="Times New Roman"/>
                <w:color w:val="000000" w:themeColor="text1"/>
                <w:sz w:val="22"/>
                <w:szCs w:val="22"/>
              </w:rPr>
              <w:t xml:space="preserve"> areas.</w:t>
            </w:r>
          </w:p>
        </w:tc>
        <w:tc>
          <w:tcPr>
            <w:tcW w:w="3118" w:type="dxa"/>
            <w:vAlign w:val="center"/>
          </w:tcPr>
          <w:p w14:paraId="7F514EF7" w14:textId="77777777" w:rsidR="00C8468B" w:rsidRPr="00C8468B" w:rsidRDefault="00962FCE" w:rsidP="0067044E">
            <w:pPr>
              <w:pStyle w:val="Heading2"/>
              <w:spacing w:before="40" w:after="40"/>
              <w:rPr>
                <w:sz w:val="22"/>
                <w:szCs w:val="22"/>
              </w:rPr>
            </w:pPr>
            <w:r w:rsidRPr="00C8468B">
              <w:rPr>
                <w:sz w:val="22"/>
                <w:szCs w:val="22"/>
              </w:rPr>
              <w:t>Extreme</w:t>
            </w:r>
            <w:r w:rsidR="00271D74" w:rsidRPr="00C8468B">
              <w:rPr>
                <w:sz w:val="22"/>
                <w:szCs w:val="22"/>
              </w:rPr>
              <w:t xml:space="preserve"> flood events </w:t>
            </w:r>
          </w:p>
          <w:p w14:paraId="389835C5" w14:textId="6E81FFEF" w:rsidR="0087676E" w:rsidRPr="00C8468B" w:rsidRDefault="00271D74" w:rsidP="0067044E">
            <w:pPr>
              <w:pStyle w:val="Heading2"/>
              <w:spacing w:before="40" w:after="40"/>
              <w:rPr>
                <w:i w:val="0"/>
                <w:iCs w:val="0"/>
                <w:sz w:val="22"/>
                <w:szCs w:val="22"/>
              </w:rPr>
            </w:pPr>
            <w:r w:rsidRPr="00C8468B">
              <w:rPr>
                <w:i w:val="0"/>
                <w:iCs w:val="0"/>
                <w:sz w:val="22"/>
                <w:szCs w:val="22"/>
              </w:rPr>
              <w:t>~100-year ARI events</w:t>
            </w:r>
          </w:p>
        </w:tc>
      </w:tr>
    </w:tbl>
    <w:p w14:paraId="7E89A2E9" w14:textId="18468F14" w:rsidR="002F7DA0" w:rsidRPr="009A5E30" w:rsidRDefault="002F7DA0" w:rsidP="00DF1536">
      <w:pPr>
        <w:spacing w:after="120"/>
        <w:rPr>
          <w:i/>
          <w:iCs/>
          <w:color w:val="000000" w:themeColor="text1"/>
          <w:sz w:val="20"/>
          <w:szCs w:val="20"/>
        </w:rPr>
      </w:pPr>
      <w:r w:rsidRPr="009A5E30">
        <w:rPr>
          <w:i/>
          <w:iCs/>
          <w:color w:val="000000" w:themeColor="text1"/>
          <w:sz w:val="20"/>
          <w:szCs w:val="20"/>
        </w:rPr>
        <w:t>*</w:t>
      </w:r>
      <w:r w:rsidRPr="009A5E30">
        <w:rPr>
          <w:i/>
          <w:iCs/>
          <w:sz w:val="20"/>
          <w:szCs w:val="20"/>
        </w:rPr>
        <w:t xml:space="preserve"> Bankfull flow </w:t>
      </w:r>
      <w:r w:rsidR="000A18AD" w:rsidRPr="009A5E30">
        <w:rPr>
          <w:i/>
          <w:iCs/>
          <w:sz w:val="20"/>
          <w:szCs w:val="20"/>
        </w:rPr>
        <w:t xml:space="preserve">varies depending on the geomorphic characteristics of the system, and </w:t>
      </w:r>
      <w:r w:rsidRPr="009A5E30">
        <w:rPr>
          <w:i/>
          <w:iCs/>
          <w:sz w:val="20"/>
          <w:szCs w:val="20"/>
        </w:rPr>
        <w:t>can be up to 50-year ARI in macrochannel systems</w:t>
      </w:r>
      <w:r w:rsidR="000A18AD" w:rsidRPr="009A5E30">
        <w:rPr>
          <w:i/>
          <w:iCs/>
          <w:sz w:val="20"/>
          <w:szCs w:val="20"/>
        </w:rPr>
        <w:t xml:space="preserve"> (</w:t>
      </w:r>
      <w:proofErr w:type="spellStart"/>
      <w:r w:rsidRPr="009A5E30">
        <w:rPr>
          <w:i/>
          <w:iCs/>
          <w:color w:val="000000" w:themeColor="text1"/>
          <w:sz w:val="20"/>
          <w:szCs w:val="20"/>
        </w:rPr>
        <w:t>Fryirs</w:t>
      </w:r>
      <w:proofErr w:type="spellEnd"/>
      <w:r w:rsidRPr="009A5E30">
        <w:rPr>
          <w:i/>
          <w:iCs/>
          <w:color w:val="000000" w:themeColor="text1"/>
          <w:sz w:val="20"/>
          <w:szCs w:val="20"/>
        </w:rPr>
        <w:t xml:space="preserve"> et al., 2023; Arash et al., 2023</w:t>
      </w:r>
      <w:r w:rsidR="000A18AD" w:rsidRPr="009A5E30">
        <w:rPr>
          <w:i/>
          <w:iCs/>
          <w:color w:val="000000" w:themeColor="text1"/>
          <w:sz w:val="20"/>
          <w:szCs w:val="20"/>
        </w:rPr>
        <w:t>)</w:t>
      </w:r>
    </w:p>
    <w:p w14:paraId="1F88C62E" w14:textId="5816C406" w:rsidR="00EA6444" w:rsidRDefault="165EC2A0" w:rsidP="002F2433">
      <w:pPr>
        <w:spacing w:before="120" w:after="120"/>
        <w:rPr>
          <w:color w:val="000000" w:themeColor="text1"/>
        </w:rPr>
      </w:pPr>
      <w:r w:rsidRPr="687979B2">
        <w:rPr>
          <w:color w:val="000000" w:themeColor="text1"/>
        </w:rPr>
        <w:t>A river’s cross-sectional geometry</w:t>
      </w:r>
      <w:r>
        <w:t xml:space="preserve"> </w:t>
      </w:r>
      <w:r w:rsidRPr="687979B2">
        <w:rPr>
          <w:color w:val="000000" w:themeColor="text1"/>
        </w:rPr>
        <w:t xml:space="preserve">strongly influences </w:t>
      </w:r>
      <w:r w:rsidR="62214D37" w:rsidRPr="687979B2">
        <w:rPr>
          <w:color w:val="000000" w:themeColor="text1"/>
        </w:rPr>
        <w:t>hydraulic</w:t>
      </w:r>
      <w:r w:rsidR="3D5AF0AC" w:rsidRPr="687979B2">
        <w:rPr>
          <w:color w:val="000000" w:themeColor="text1"/>
        </w:rPr>
        <w:t xml:space="preserve"> roughness</w:t>
      </w:r>
      <w:r w:rsidR="62214D37" w:rsidRPr="687979B2">
        <w:rPr>
          <w:color w:val="000000" w:themeColor="text1"/>
        </w:rPr>
        <w:t xml:space="preserve"> interactions</w:t>
      </w:r>
      <w:r w:rsidR="513ED2FD" w:rsidRPr="687979B2">
        <w:rPr>
          <w:color w:val="000000" w:themeColor="text1"/>
        </w:rPr>
        <w:t xml:space="preserve"> (see</w:t>
      </w:r>
      <w:r w:rsidR="62214D37" w:rsidRPr="687979B2">
        <w:rPr>
          <w:color w:val="000000" w:themeColor="text1"/>
        </w:rPr>
        <w:t xml:space="preserve"> (2)</w:t>
      </w:r>
      <w:r w:rsidR="5DFE2D00" w:rsidRPr="687979B2">
        <w:rPr>
          <w:color w:val="000000" w:themeColor="text1"/>
        </w:rPr>
        <w:t xml:space="preserve"> </w:t>
      </w:r>
      <w:r w:rsidR="513ED2FD" w:rsidRPr="687979B2">
        <w:rPr>
          <w:color w:val="000000" w:themeColor="text1"/>
        </w:rPr>
        <w:t xml:space="preserve">in </w:t>
      </w:r>
      <w:r w:rsidR="00EA6444" w:rsidRPr="687979B2">
        <w:rPr>
          <w:color w:val="000000" w:themeColor="text1"/>
        </w:rPr>
        <w:fldChar w:fldCharType="begin"/>
      </w:r>
      <w:r w:rsidR="00EA6444" w:rsidRPr="687979B2">
        <w:rPr>
          <w:color w:val="000000" w:themeColor="text1"/>
        </w:rPr>
        <w:instrText xml:space="preserve"> REF _Ref230261207 \h </w:instrText>
      </w:r>
      <w:r w:rsidR="00EA6444" w:rsidRPr="687979B2">
        <w:rPr>
          <w:color w:val="000000" w:themeColor="text1"/>
        </w:rPr>
      </w:r>
      <w:r w:rsidR="00EA6444" w:rsidRPr="687979B2">
        <w:rPr>
          <w:color w:val="000000" w:themeColor="text1"/>
        </w:rPr>
        <w:fldChar w:fldCharType="separate"/>
      </w:r>
      <w:r w:rsidR="513ED2FD">
        <w:t xml:space="preserve">Table </w:t>
      </w:r>
      <w:r w:rsidR="513ED2FD" w:rsidRPr="687979B2">
        <w:rPr>
          <w:noProof/>
        </w:rPr>
        <w:t>1</w:t>
      </w:r>
      <w:r w:rsidR="00EA6444" w:rsidRPr="687979B2">
        <w:rPr>
          <w:color w:val="000000" w:themeColor="text1"/>
        </w:rPr>
        <w:fldChar w:fldCharType="end"/>
      </w:r>
      <w:r w:rsidR="513ED2FD" w:rsidRPr="687979B2">
        <w:rPr>
          <w:color w:val="000000" w:themeColor="text1"/>
        </w:rPr>
        <w:t xml:space="preserve">) </w:t>
      </w:r>
      <w:r w:rsidR="62214D37" w:rsidRPr="687979B2">
        <w:rPr>
          <w:color w:val="000000" w:themeColor="text1"/>
        </w:rPr>
        <w:t xml:space="preserve">and channel-floodplain connectivity </w:t>
      </w:r>
      <w:r w:rsidR="513ED2FD" w:rsidRPr="687979B2">
        <w:rPr>
          <w:color w:val="000000" w:themeColor="text1"/>
        </w:rPr>
        <w:t xml:space="preserve">(see (3) in </w:t>
      </w:r>
      <w:r w:rsidR="00EA6444" w:rsidRPr="687979B2">
        <w:rPr>
          <w:color w:val="000000" w:themeColor="text1"/>
        </w:rPr>
        <w:fldChar w:fldCharType="begin"/>
      </w:r>
      <w:r w:rsidR="00EA6444" w:rsidRPr="687979B2">
        <w:rPr>
          <w:color w:val="000000" w:themeColor="text1"/>
        </w:rPr>
        <w:instrText xml:space="preserve"> REF _Ref230261207 \h </w:instrText>
      </w:r>
      <w:r w:rsidR="00EA6444" w:rsidRPr="687979B2">
        <w:rPr>
          <w:color w:val="000000" w:themeColor="text1"/>
        </w:rPr>
      </w:r>
      <w:r w:rsidR="00EA6444" w:rsidRPr="687979B2">
        <w:rPr>
          <w:color w:val="000000" w:themeColor="text1"/>
        </w:rPr>
        <w:fldChar w:fldCharType="separate"/>
      </w:r>
      <w:r w:rsidR="513ED2FD">
        <w:t xml:space="preserve">Table </w:t>
      </w:r>
      <w:r w:rsidR="513ED2FD" w:rsidRPr="687979B2">
        <w:rPr>
          <w:noProof/>
        </w:rPr>
        <w:t>1</w:t>
      </w:r>
      <w:r w:rsidR="00EA6444" w:rsidRPr="687979B2">
        <w:rPr>
          <w:color w:val="000000" w:themeColor="text1"/>
        </w:rPr>
        <w:fldChar w:fldCharType="end"/>
      </w:r>
      <w:r w:rsidR="513ED2FD" w:rsidRPr="687979B2">
        <w:rPr>
          <w:color w:val="000000" w:themeColor="text1"/>
        </w:rPr>
        <w:t>)</w:t>
      </w:r>
      <w:r w:rsidR="62214D37" w:rsidRPr="687979B2">
        <w:rPr>
          <w:color w:val="000000" w:themeColor="text1"/>
        </w:rPr>
        <w:t xml:space="preserve">, </w:t>
      </w:r>
      <w:r w:rsidRPr="687979B2">
        <w:rPr>
          <w:color w:val="000000" w:themeColor="text1"/>
        </w:rPr>
        <w:t>yet geomorphic processes that contribute to channel enlargement have largely been overlooked in NFM research and published NFM guidelines to date (</w:t>
      </w:r>
      <w:r w:rsidR="62214D37" w:rsidRPr="687979B2">
        <w:rPr>
          <w:color w:val="000000" w:themeColor="text1"/>
        </w:rPr>
        <w:t>Prinsley et al. 202</w:t>
      </w:r>
      <w:r w:rsidR="7887AA41" w:rsidRPr="687979B2">
        <w:rPr>
          <w:color w:val="000000" w:themeColor="text1"/>
        </w:rPr>
        <w:t>5</w:t>
      </w:r>
      <w:r w:rsidRPr="687979B2">
        <w:rPr>
          <w:color w:val="000000" w:themeColor="text1"/>
        </w:rPr>
        <w:t xml:space="preserve">). </w:t>
      </w:r>
      <w:r>
        <w:t>Limiting channel enlargement warrants closer consideration as a potential NFM approach</w:t>
      </w:r>
      <w:r w:rsidR="146B021F">
        <w:t xml:space="preserve"> and that is the subject of the remainder of this paper.</w:t>
      </w:r>
    </w:p>
    <w:p w14:paraId="671DD3A1" w14:textId="3F902493" w:rsidR="00D4642F" w:rsidRPr="00550A60" w:rsidRDefault="00D4642F" w:rsidP="00D4642F">
      <w:pPr>
        <w:pStyle w:val="Heading1"/>
        <w:spacing w:after="120"/>
        <w:ind w:left="432" w:hanging="432"/>
        <w:rPr>
          <w:rFonts w:cs="Times New Roman"/>
        </w:rPr>
      </w:pPr>
      <w:r w:rsidRPr="00550A60">
        <w:rPr>
          <w:rFonts w:cs="Times New Roman"/>
        </w:rPr>
        <w:t>Impacts of channel enlargement on flood flow conveyance</w:t>
      </w:r>
      <w:r w:rsidR="00C964A6">
        <w:rPr>
          <w:rFonts w:cs="Times New Roman"/>
        </w:rPr>
        <w:t xml:space="preserve"> </w:t>
      </w:r>
    </w:p>
    <w:p w14:paraId="6EF4C327" w14:textId="2B2410A0" w:rsidR="00AF2B9A" w:rsidRDefault="00ED342A" w:rsidP="00303BFF">
      <w:pPr>
        <w:spacing w:after="120" w:line="276" w:lineRule="auto"/>
      </w:pPr>
      <w:r w:rsidRPr="00ED342A">
        <w:t xml:space="preserve">Many alluvial channels along the east coast of Australia have undergone substantial incision and widening in response to land use changes that altered catchment hydrology, increased hydraulic forces, and reduced channel resistance. These land use changes include clearing of native forest, urbanisation, and various forms of </w:t>
      </w:r>
      <w:proofErr w:type="spellStart"/>
      <w:r w:rsidRPr="00ED342A">
        <w:t>channelisation</w:t>
      </w:r>
      <w:proofErr w:type="spellEnd"/>
      <w:r w:rsidRPr="00ED342A">
        <w:t xml:space="preserve"> </w:t>
      </w:r>
      <w:r w:rsidR="00477D09">
        <w:t xml:space="preserve">(ironically) </w:t>
      </w:r>
      <w:r w:rsidRPr="00ED342A">
        <w:t>historically undertaken for flood mitigation</w:t>
      </w:r>
      <w:r w:rsidR="00477D09">
        <w:t xml:space="preserve"> purposes</w:t>
      </w:r>
      <w:r w:rsidRPr="00ED342A">
        <w:t xml:space="preserve">, including </w:t>
      </w:r>
      <w:proofErr w:type="spellStart"/>
      <w:r w:rsidRPr="00ED342A">
        <w:t>desnagging</w:t>
      </w:r>
      <w:proofErr w:type="spellEnd"/>
      <w:r w:rsidRPr="00ED342A">
        <w:t xml:space="preserve">, channel straightening, and riparian vegetation clearing (Prosser et al., 2001; Rutherfurd, 2000). </w:t>
      </w:r>
      <w:r w:rsidR="00AF2B9A" w:rsidRPr="00AF2B9A">
        <w:t xml:space="preserve">Although much of this channel enlargement occurred during the nineteenth and twentieth centuries, </w:t>
      </w:r>
      <w:r w:rsidR="00F020D4">
        <w:t xml:space="preserve">channel enlargement is still ongoing </w:t>
      </w:r>
      <w:r w:rsidR="00AF2B9A" w:rsidRPr="00AF2B9A">
        <w:t xml:space="preserve">in many </w:t>
      </w:r>
      <w:r w:rsidR="00F020D4">
        <w:t>rivers across</w:t>
      </w:r>
      <w:r w:rsidR="00AF2B9A" w:rsidRPr="00AF2B9A">
        <w:t xml:space="preserve"> eastern Australia.</w:t>
      </w:r>
    </w:p>
    <w:p w14:paraId="1624B47E" w14:textId="419618D7" w:rsidR="00D4642F" w:rsidRPr="00A648EC" w:rsidRDefault="11171369" w:rsidP="00303BFF">
      <w:pPr>
        <w:spacing w:after="120" w:line="276" w:lineRule="auto"/>
        <w:rPr>
          <w:rFonts w:eastAsiaTheme="majorEastAsia"/>
          <w:b/>
          <w:bCs/>
        </w:rPr>
      </w:pPr>
      <w:r>
        <w:t>At the cross-sectional scale (</w:t>
      </w:r>
      <w:r w:rsidR="00D4642F">
        <w:fldChar w:fldCharType="begin"/>
      </w:r>
      <w:r w:rsidR="00D4642F">
        <w:instrText xml:space="preserve"> REF _Ref196469831 \h </w:instrText>
      </w:r>
      <w:r w:rsidR="00D4642F">
        <w:fldChar w:fldCharType="separate"/>
      </w:r>
      <w:r>
        <w:t xml:space="preserve">Figure </w:t>
      </w:r>
      <w:r w:rsidRPr="687979B2">
        <w:rPr>
          <w:noProof/>
        </w:rPr>
        <w:t>2</w:t>
      </w:r>
      <w:r w:rsidR="00D4642F">
        <w:fldChar w:fldCharType="end"/>
      </w:r>
      <w:r>
        <w:t xml:space="preserve">), </w:t>
      </w:r>
      <w:r w:rsidR="00DF31E6" w:rsidRPr="00DF31E6">
        <w:t xml:space="preserve">channel enlargement is typically </w:t>
      </w:r>
      <w:proofErr w:type="spellStart"/>
      <w:r w:rsidR="00DF31E6" w:rsidRPr="00DF31E6">
        <w:t>characterised</w:t>
      </w:r>
      <w:proofErr w:type="spellEnd"/>
      <w:r w:rsidR="00DF31E6" w:rsidRPr="00DF31E6">
        <w:t xml:space="preserve"> by</w:t>
      </w:r>
      <w:r>
        <w:t>:</w:t>
      </w:r>
    </w:p>
    <w:p w14:paraId="192D03BE" w14:textId="345B266D" w:rsidR="00D4642F" w:rsidRPr="00D95096" w:rsidRDefault="00D4642F" w:rsidP="00D4642F">
      <w:pPr>
        <w:pStyle w:val="ListParagraph"/>
        <w:numPr>
          <w:ilvl w:val="0"/>
          <w:numId w:val="21"/>
        </w:numPr>
        <w:rPr>
          <w:rFonts w:ascii="Times New Roman" w:hAnsi="Times New Roman" w:cs="Times New Roman"/>
          <w:sz w:val="22"/>
          <w:szCs w:val="22"/>
        </w:rPr>
      </w:pPr>
      <w:r w:rsidRPr="00D95096">
        <w:rPr>
          <w:rFonts w:ascii="Times New Roman" w:hAnsi="Times New Roman" w:cs="Times New Roman"/>
          <w:sz w:val="22"/>
          <w:szCs w:val="22"/>
        </w:rPr>
        <w:t>An increase in hydraulic radius;</w:t>
      </w:r>
    </w:p>
    <w:p w14:paraId="20B3DE03" w14:textId="7AA626A3" w:rsidR="00D4642F" w:rsidRPr="002858A9" w:rsidRDefault="11171369" w:rsidP="002858A9">
      <w:pPr>
        <w:pStyle w:val="ListParagraph"/>
        <w:numPr>
          <w:ilvl w:val="0"/>
          <w:numId w:val="21"/>
        </w:numPr>
        <w:spacing w:before="120"/>
        <w:rPr>
          <w:rFonts w:ascii="Times New Roman" w:hAnsi="Times New Roman" w:cs="Times New Roman"/>
          <w:sz w:val="22"/>
          <w:szCs w:val="22"/>
        </w:rPr>
      </w:pPr>
      <w:r w:rsidRPr="687979B2">
        <w:rPr>
          <w:rFonts w:ascii="Times New Roman" w:hAnsi="Times New Roman" w:cs="Times New Roman"/>
          <w:sz w:val="22"/>
          <w:szCs w:val="22"/>
        </w:rPr>
        <w:t>A reduction in hydraulic roughness due to loss of vegetation and simplification of channel form (e.g. loss of inset geomorphic features</w:t>
      </w:r>
      <w:r w:rsidR="3DE47CE1" w:rsidRPr="687979B2">
        <w:rPr>
          <w:rFonts w:ascii="Times New Roman" w:hAnsi="Times New Roman" w:cs="Times New Roman"/>
          <w:sz w:val="22"/>
          <w:szCs w:val="22"/>
        </w:rPr>
        <w:t>, and channel straightening</w:t>
      </w:r>
      <w:r w:rsidRPr="687979B2">
        <w:rPr>
          <w:rFonts w:ascii="Times New Roman" w:hAnsi="Times New Roman" w:cs="Times New Roman"/>
          <w:sz w:val="22"/>
          <w:szCs w:val="22"/>
        </w:rPr>
        <w:t>).</w:t>
      </w:r>
      <w:r w:rsidR="5EE890A7" w:rsidRPr="687979B2">
        <w:rPr>
          <w:rFonts w:ascii="Times New Roman" w:hAnsi="Times New Roman" w:cs="Times New Roman"/>
          <w:sz w:val="22"/>
          <w:szCs w:val="22"/>
        </w:rPr>
        <w:t xml:space="preserve">   </w:t>
      </w:r>
    </w:p>
    <w:p w14:paraId="00C87518" w14:textId="65A7944A" w:rsidR="004D183E" w:rsidRPr="00D95096" w:rsidRDefault="54A88E18" w:rsidP="0089083F">
      <w:pPr>
        <w:spacing w:after="240"/>
      </w:pPr>
      <w:r>
        <w:t xml:space="preserve">Although the changes may occur incrementally, they can significantly affect flow conveyance over decadal time scales – an example of erosional channel enlargement in the Lockyer Valley in </w:t>
      </w:r>
      <w:proofErr w:type="gramStart"/>
      <w:r>
        <w:t>South East</w:t>
      </w:r>
      <w:proofErr w:type="gramEnd"/>
      <w:r>
        <w:t xml:space="preserve"> Queensland is shown in </w:t>
      </w:r>
      <w:r w:rsidR="00DF1536">
        <w:fldChar w:fldCharType="begin"/>
      </w:r>
      <w:r w:rsidR="00DF1536">
        <w:instrText xml:space="preserve"> REF _Ref203731748 \h  \* MERGEFORMAT </w:instrText>
      </w:r>
      <w:r w:rsidR="00DF1536">
        <w:fldChar w:fldCharType="separate"/>
      </w:r>
      <w:r>
        <w:t xml:space="preserve">Figure </w:t>
      </w:r>
      <w:r w:rsidRPr="687979B2">
        <w:rPr>
          <w:noProof/>
        </w:rPr>
        <w:t>1</w:t>
      </w:r>
      <w:r w:rsidR="00DF1536">
        <w:fldChar w:fldCharType="end"/>
      </w:r>
      <w:r>
        <w:t>. Channel enlargement typically increases flood flow conveyance and reduces channel-floodplain connectivity (i.e. overbank flows become less frequent) and therefore floodplain storage</w:t>
      </w:r>
      <w:r w:rsidR="070E7891">
        <w:t>, which has a strong influence on flood peak attenuation in large flood events (</w:t>
      </w:r>
      <w:r w:rsidR="00DF1536">
        <w:fldChar w:fldCharType="begin"/>
      </w:r>
      <w:r w:rsidR="00DF1536">
        <w:instrText xml:space="preserve"> REF _Ref230261207 \h </w:instrText>
      </w:r>
      <w:r w:rsidR="00DF1536">
        <w:fldChar w:fldCharType="separate"/>
      </w:r>
      <w:r w:rsidR="070E7891">
        <w:t xml:space="preserve">Table </w:t>
      </w:r>
      <w:r w:rsidR="070E7891" w:rsidRPr="687979B2">
        <w:rPr>
          <w:noProof/>
        </w:rPr>
        <w:t>1</w:t>
      </w:r>
      <w:r w:rsidR="00DF1536">
        <w:fldChar w:fldCharType="end"/>
      </w:r>
      <w:r w:rsidR="070E7891">
        <w:t>)</w:t>
      </w:r>
      <w:r>
        <w:t xml:space="preserve">. Together, these changes contribute to more efficient downstream transfer of floodwaters (increased flood wave celerity), which can result in higher peak discharges and </w:t>
      </w:r>
      <w:r w:rsidR="133356C5">
        <w:t xml:space="preserve">higher </w:t>
      </w:r>
      <w:r>
        <w:t>flood levels downstream.</w:t>
      </w:r>
      <w:r w:rsidR="2C285CE7">
        <w:t xml:space="preserve">  </w:t>
      </w:r>
      <w:r w:rsidR="002D49A2">
        <w:t>We argue that long-term channel enlargement m</w:t>
      </w:r>
      <w:r w:rsidR="00AC0DD7">
        <w:t xml:space="preserve">ay exert a greater influence on downstream flood risk than </w:t>
      </w:r>
      <w:r w:rsidR="00AC0DD7" w:rsidRPr="00AC0DD7">
        <w:t xml:space="preserve">the NFM approaches summarised in </w:t>
      </w:r>
      <w:r w:rsidR="00AE0591">
        <w:fldChar w:fldCharType="begin"/>
      </w:r>
      <w:r w:rsidR="00AE0591">
        <w:instrText xml:space="preserve"> REF _Ref235783118 \h </w:instrText>
      </w:r>
      <w:r w:rsidR="00AE0591">
        <w:fldChar w:fldCharType="separate"/>
      </w:r>
      <w:r w:rsidR="00AE0591" w:rsidRPr="006325D4">
        <w:t xml:space="preserve">Table </w:t>
      </w:r>
      <w:r w:rsidR="00AE0591">
        <w:rPr>
          <w:noProof/>
        </w:rPr>
        <w:t>1</w:t>
      </w:r>
      <w:r w:rsidR="00AE0591">
        <w:fldChar w:fldCharType="end"/>
      </w:r>
      <w:r w:rsidR="60CB92FD">
        <w:t xml:space="preserve">.  </w:t>
      </w:r>
      <w:r w:rsidR="00462CD6" w:rsidRPr="00462CD6">
        <w:t>Furthermore, the effectiveness of NFM could be enhanced by not only increasing floodplain storage and hydraulic roughness,</w:t>
      </w:r>
      <w:r w:rsidR="47D80E5D">
        <w:t xml:space="preserve"> but </w:t>
      </w:r>
      <w:r w:rsidR="00462CD6">
        <w:t xml:space="preserve">by </w:t>
      </w:r>
      <w:r w:rsidR="47D80E5D">
        <w:t xml:space="preserve">also </w:t>
      </w:r>
      <w:r w:rsidR="003A615B">
        <w:t>addressing</w:t>
      </w:r>
      <w:r w:rsidR="003A615B" w:rsidRPr="00D95096">
        <w:t xml:space="preserve"> channel degradation</w:t>
      </w:r>
      <w:r w:rsidR="003A615B">
        <w:t xml:space="preserve"> processes that lead to channel enlargement.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DF1536" w:rsidRPr="00D95096" w14:paraId="7C3F6973" w14:textId="77777777" w:rsidTr="00DF1536">
        <w:tc>
          <w:tcPr>
            <w:tcW w:w="4508" w:type="dxa"/>
          </w:tcPr>
          <w:p w14:paraId="68950F12" w14:textId="77777777" w:rsidR="00DF1536" w:rsidRDefault="00DF1536" w:rsidP="006301BA">
            <w:pPr>
              <w:spacing w:after="0"/>
              <w:jc w:val="right"/>
            </w:pPr>
            <w:r w:rsidRPr="00D95096">
              <w:rPr>
                <w:noProof/>
              </w:rPr>
              <w:lastRenderedPageBreak/>
              <w:drawing>
                <wp:inline distT="0" distB="0" distL="0" distR="0" wp14:anchorId="4DCBB56D" wp14:editId="7F6B0289">
                  <wp:extent cx="1998920" cy="2620052"/>
                  <wp:effectExtent l="0" t="0" r="1905" b="0"/>
                  <wp:docPr id="1059289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9784" r="29463" b="59004"/>
                          <a:stretch>
                            <a:fillRect/>
                          </a:stretch>
                        </pic:blipFill>
                        <pic:spPr bwMode="auto">
                          <a:xfrm>
                            <a:off x="0" y="0"/>
                            <a:ext cx="2018213" cy="2645339"/>
                          </a:xfrm>
                          <a:prstGeom prst="rect">
                            <a:avLst/>
                          </a:prstGeom>
                          <a:noFill/>
                          <a:ln>
                            <a:noFill/>
                          </a:ln>
                          <a:extLst>
                            <a:ext uri="{53640926-AAD7-44D8-BBD7-CCE9431645EC}">
                              <a14:shadowObscured xmlns:a14="http://schemas.microsoft.com/office/drawing/2010/main"/>
                            </a:ext>
                          </a:extLst>
                        </pic:spPr>
                      </pic:pic>
                    </a:graphicData>
                  </a:graphic>
                </wp:inline>
              </w:drawing>
            </w:r>
            <w:r w:rsidRPr="00D95096">
              <w:t xml:space="preserve">  </w:t>
            </w:r>
          </w:p>
          <w:p w14:paraId="39701A81" w14:textId="77777777" w:rsidR="00DF1536" w:rsidRPr="00D95096" w:rsidRDefault="00DF1536" w:rsidP="006301BA">
            <w:pPr>
              <w:spacing w:after="120"/>
              <w:jc w:val="right"/>
            </w:pPr>
            <w:r w:rsidRPr="00D95096">
              <w:rPr>
                <w:i/>
                <w:iCs/>
              </w:rPr>
              <w:t>1951 – Blackfellow Creek at Mount Sylvia</w:t>
            </w:r>
          </w:p>
        </w:tc>
        <w:tc>
          <w:tcPr>
            <w:tcW w:w="4509" w:type="dxa"/>
          </w:tcPr>
          <w:p w14:paraId="1CB58F19" w14:textId="77777777" w:rsidR="00DF1536" w:rsidRPr="00D95096" w:rsidRDefault="00DF1536" w:rsidP="006301BA">
            <w:pPr>
              <w:keepNext/>
              <w:spacing w:after="0"/>
            </w:pPr>
            <w:r w:rsidRPr="00D95096">
              <w:rPr>
                <w:noProof/>
              </w:rPr>
              <w:drawing>
                <wp:inline distT="0" distB="0" distL="0" distR="0" wp14:anchorId="4F633D6D" wp14:editId="74EB3AF0">
                  <wp:extent cx="2035822" cy="2604977"/>
                  <wp:effectExtent l="0" t="0" r="2540" b="5080"/>
                  <wp:docPr id="9" name="Picture 8">
                    <a:extLst xmlns:a="http://schemas.openxmlformats.org/drawingml/2006/main">
                      <a:ext uri="{FF2B5EF4-FFF2-40B4-BE49-F238E27FC236}">
                        <a16:creationId xmlns:a16="http://schemas.microsoft.com/office/drawing/2014/main" id="{F00698F1-1997-7B6E-C906-8ED7582BA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00698F1-1997-7B6E-C906-8ED7582BA4E3}"/>
                              </a:ext>
                            </a:extLst>
                          </pic:cNvPr>
                          <pic:cNvPicPr>
                            <a:picLocks noChangeAspect="1"/>
                          </pic:cNvPicPr>
                        </pic:nvPicPr>
                        <pic:blipFill rotWithShape="1">
                          <a:blip r:embed="rId12" cstate="print">
                            <a:extLst>
                              <a:ext uri="{28A0092B-C50C-407E-A947-70E740481C1C}">
                                <a14:useLocalDpi xmlns:a14="http://schemas.microsoft.com/office/drawing/2010/main"/>
                              </a:ext>
                            </a:extLst>
                          </a:blip>
                          <a:srcRect l="8469" r="39026" b="57513"/>
                          <a:stretch>
                            <a:fillRect/>
                          </a:stretch>
                        </pic:blipFill>
                        <pic:spPr bwMode="auto">
                          <a:xfrm>
                            <a:off x="0" y="0"/>
                            <a:ext cx="2059108" cy="2634773"/>
                          </a:xfrm>
                          <a:prstGeom prst="rect">
                            <a:avLst/>
                          </a:prstGeom>
                          <a:ln>
                            <a:noFill/>
                          </a:ln>
                          <a:extLst>
                            <a:ext uri="{53640926-AAD7-44D8-BBD7-CCE9431645EC}">
                              <a14:shadowObscured xmlns:a14="http://schemas.microsoft.com/office/drawing/2010/main"/>
                            </a:ext>
                          </a:extLst>
                        </pic:spPr>
                      </pic:pic>
                    </a:graphicData>
                  </a:graphic>
                </wp:inline>
              </w:drawing>
            </w:r>
            <w:r w:rsidRPr="00D95096">
              <w:br/>
            </w:r>
            <w:r w:rsidRPr="00D95096">
              <w:rPr>
                <w:i/>
                <w:iCs/>
              </w:rPr>
              <w:t>2013 –</w:t>
            </w:r>
            <w:r w:rsidRPr="00D95096">
              <w:t xml:space="preserve"> </w:t>
            </w:r>
            <w:r w:rsidRPr="00D95096">
              <w:rPr>
                <w:i/>
                <w:iCs/>
              </w:rPr>
              <w:t>Blackfellow Creek at Mount Sylvia</w:t>
            </w:r>
          </w:p>
        </w:tc>
      </w:tr>
    </w:tbl>
    <w:p w14:paraId="27BD69E6" w14:textId="61CF58C6" w:rsidR="00DF1536" w:rsidRDefault="00DF1536" w:rsidP="00DF1536">
      <w:pPr>
        <w:pStyle w:val="Caption"/>
        <w:rPr>
          <w:rFonts w:ascii="Times New Roman" w:hAnsi="Times New Roman" w:cs="Times New Roman"/>
          <w:sz w:val="22"/>
          <w:szCs w:val="22"/>
        </w:rPr>
      </w:pPr>
      <w:bookmarkStart w:id="2" w:name="_Ref203731748"/>
      <w:r w:rsidRPr="00D95096">
        <w:rPr>
          <w:rFonts w:ascii="Times New Roman" w:hAnsi="Times New Roman" w:cs="Times New Roman"/>
          <w:sz w:val="22"/>
          <w:szCs w:val="22"/>
        </w:rPr>
        <w:t xml:space="preserve">Figure </w:t>
      </w:r>
      <w:r w:rsidRPr="00D95096">
        <w:rPr>
          <w:rFonts w:ascii="Times New Roman" w:hAnsi="Times New Roman" w:cs="Times New Roman"/>
          <w:sz w:val="22"/>
          <w:szCs w:val="22"/>
        </w:rPr>
        <w:fldChar w:fldCharType="begin"/>
      </w:r>
      <w:r w:rsidRPr="00D95096">
        <w:rPr>
          <w:rFonts w:ascii="Times New Roman" w:hAnsi="Times New Roman" w:cs="Times New Roman"/>
          <w:sz w:val="22"/>
          <w:szCs w:val="22"/>
        </w:rPr>
        <w:instrText>SEQ Figure \* ARABIC</w:instrText>
      </w:r>
      <w:r w:rsidRPr="00D95096">
        <w:rPr>
          <w:rFonts w:ascii="Times New Roman" w:hAnsi="Times New Roman" w:cs="Times New Roman"/>
          <w:sz w:val="22"/>
          <w:szCs w:val="22"/>
        </w:rPr>
        <w:fldChar w:fldCharType="separate"/>
      </w:r>
      <w:r w:rsidR="0067044E">
        <w:rPr>
          <w:rFonts w:ascii="Times New Roman" w:hAnsi="Times New Roman" w:cs="Times New Roman"/>
          <w:noProof/>
          <w:sz w:val="22"/>
          <w:szCs w:val="22"/>
        </w:rPr>
        <w:t>1</w:t>
      </w:r>
      <w:r w:rsidRPr="00D95096">
        <w:rPr>
          <w:rFonts w:ascii="Times New Roman" w:hAnsi="Times New Roman" w:cs="Times New Roman"/>
          <w:sz w:val="22"/>
          <w:szCs w:val="22"/>
        </w:rPr>
        <w:fldChar w:fldCharType="end"/>
      </w:r>
      <w:bookmarkEnd w:id="2"/>
      <w:r w:rsidRPr="00D95096">
        <w:rPr>
          <w:rFonts w:ascii="Times New Roman" w:hAnsi="Times New Roman" w:cs="Times New Roman"/>
          <w:sz w:val="22"/>
          <w:szCs w:val="22"/>
        </w:rPr>
        <w:t xml:space="preserve">. </w:t>
      </w:r>
      <w:r w:rsidRPr="00D95096">
        <w:rPr>
          <w:rFonts w:ascii="Times New Roman" w:hAnsi="Times New Roman" w:cs="Times New Roman"/>
          <w:b w:val="0"/>
          <w:bCs w:val="0"/>
          <w:i/>
          <w:iCs/>
          <w:sz w:val="22"/>
          <w:szCs w:val="22"/>
        </w:rPr>
        <w:t xml:space="preserve">Example of erosional channel enlargement in </w:t>
      </w:r>
      <w:r w:rsidR="001E015F">
        <w:rPr>
          <w:rFonts w:ascii="Times New Roman" w:hAnsi="Times New Roman" w:cs="Times New Roman"/>
          <w:b w:val="0"/>
          <w:bCs w:val="0"/>
          <w:i/>
          <w:iCs/>
          <w:sz w:val="22"/>
          <w:szCs w:val="22"/>
        </w:rPr>
        <w:t>a</w:t>
      </w:r>
      <w:r w:rsidR="001E015F" w:rsidRPr="00D95096">
        <w:rPr>
          <w:rFonts w:ascii="Times New Roman" w:hAnsi="Times New Roman" w:cs="Times New Roman"/>
          <w:b w:val="0"/>
          <w:bCs w:val="0"/>
          <w:i/>
          <w:iCs/>
          <w:sz w:val="22"/>
          <w:szCs w:val="22"/>
        </w:rPr>
        <w:t xml:space="preserve"> </w:t>
      </w:r>
      <w:r w:rsidRPr="00D95096">
        <w:rPr>
          <w:rFonts w:ascii="Times New Roman" w:hAnsi="Times New Roman" w:cs="Times New Roman"/>
          <w:b w:val="0"/>
          <w:bCs w:val="0"/>
          <w:i/>
          <w:iCs/>
          <w:sz w:val="22"/>
          <w:szCs w:val="22"/>
        </w:rPr>
        <w:t>stream in Lockyer Valley in South East Queensland</w:t>
      </w:r>
      <w:r w:rsidRPr="00D95096">
        <w:rPr>
          <w:rFonts w:ascii="Times New Roman" w:hAnsi="Times New Roman" w:cs="Times New Roman"/>
          <w:sz w:val="22"/>
          <w:szCs w:val="22"/>
        </w:rPr>
        <w:t xml:space="preserve"> </w:t>
      </w:r>
    </w:p>
    <w:p w14:paraId="28945F9E" w14:textId="77777777" w:rsidR="00DF1536" w:rsidRPr="00A058C9" w:rsidRDefault="00DF1536" w:rsidP="008B7257">
      <w:pPr>
        <w:pStyle w:val="Heading3"/>
        <w:ind w:left="0"/>
        <w:rPr>
          <w:rFonts w:cs="Times New Roman"/>
          <w:szCs w:val="22"/>
        </w:rPr>
      </w:pPr>
      <w:r w:rsidRPr="00A058C9">
        <w:rPr>
          <w:rFonts w:cs="Times New Roman"/>
          <w:szCs w:val="22"/>
        </w:rPr>
        <w:t>Case study</w:t>
      </w:r>
      <w:r>
        <w:rPr>
          <w:rFonts w:cs="Times New Roman"/>
          <w:szCs w:val="22"/>
        </w:rPr>
        <w:t xml:space="preserve"> investigations</w:t>
      </w:r>
      <w:r w:rsidRPr="00A058C9">
        <w:rPr>
          <w:rFonts w:cs="Times New Roman"/>
          <w:szCs w:val="22"/>
        </w:rPr>
        <w:t xml:space="preserve"> </w:t>
      </w:r>
    </w:p>
    <w:p w14:paraId="4A000E4A" w14:textId="6F44C71A" w:rsidR="00626A02" w:rsidRDefault="54A88E18" w:rsidP="00DF1536">
      <w:r>
        <w:t xml:space="preserve">The impact of channel enlargement on downstream flood behaviour was investigated by Alluvium Consulting through four case study areas within </w:t>
      </w:r>
      <w:proofErr w:type="gramStart"/>
      <w:r>
        <w:t>South East</w:t>
      </w:r>
      <w:proofErr w:type="gramEnd"/>
      <w:r>
        <w:t xml:space="preserve"> Queensland – Blackfellow Creek, Laidley Creek, Oxley Creek and Upper Warrill Creek (Alluvium Consulting, 2025). All four case study catchments experienced major flooding in 2010/2011, 2013, 2017 and 2022</w:t>
      </w:r>
      <w:r w:rsidR="6BC0F763">
        <w:t xml:space="preserve">.  </w:t>
      </w:r>
      <w:r w:rsidR="0097774E">
        <w:t>T</w:t>
      </w:r>
      <w:r w:rsidR="0097774E" w:rsidRPr="0097774E">
        <w:t xml:space="preserve">hese floods not only had </w:t>
      </w:r>
      <w:r w:rsidR="0097774E">
        <w:t xml:space="preserve">profound </w:t>
      </w:r>
      <w:r w:rsidR="0097774E" w:rsidRPr="0097774E">
        <w:t xml:space="preserve">impacts on </w:t>
      </w:r>
      <w:r w:rsidR="0097774E">
        <w:t xml:space="preserve">the </w:t>
      </w:r>
      <w:r w:rsidR="0097774E" w:rsidRPr="0097774E">
        <w:t>local communities</w:t>
      </w:r>
      <w:r w:rsidR="00CB3547">
        <w:t xml:space="preserve">, </w:t>
      </w:r>
      <w:r w:rsidR="6BC0F763">
        <w:t xml:space="preserve">but </w:t>
      </w:r>
      <w:r w:rsidR="0097774E">
        <w:t xml:space="preserve">they </w:t>
      </w:r>
      <w:r w:rsidR="6BC0F763">
        <w:t xml:space="preserve">also </w:t>
      </w:r>
      <w:r>
        <w:t>contributed to channel enlargement due to erosion</w:t>
      </w:r>
      <w:r w:rsidR="00BA7BE9">
        <w:t xml:space="preserve"> (</w:t>
      </w:r>
      <w:r w:rsidR="00BA7BE9">
        <w:fldChar w:fldCharType="begin"/>
      </w:r>
      <w:r w:rsidR="00BA7BE9">
        <w:instrText xml:space="preserve"> REF _Ref235795551 \h </w:instrText>
      </w:r>
      <w:r w:rsidR="00BA7BE9">
        <w:fldChar w:fldCharType="separate"/>
      </w:r>
      <w:r w:rsidR="00BA7BE9" w:rsidRPr="00680CE8">
        <w:t xml:space="preserve">Table </w:t>
      </w:r>
      <w:r w:rsidR="00BA7BE9" w:rsidRPr="00680CE8">
        <w:rPr>
          <w:noProof/>
        </w:rPr>
        <w:t>2</w:t>
      </w:r>
      <w:r w:rsidR="00BA7BE9">
        <w:fldChar w:fldCharType="end"/>
      </w:r>
      <w:r w:rsidR="00BA7BE9">
        <w:t>)</w:t>
      </w:r>
      <w:r>
        <w:t xml:space="preserve">. For each case study, two LiDAR datasets captured approximately 10 years apart (between 2009 and 2023) were used to create hydraulic models (‘pre-erosion’ and ‘post-erosion’) and </w:t>
      </w:r>
      <w:proofErr w:type="spellStart"/>
      <w:r>
        <w:t>analyse</w:t>
      </w:r>
      <w:proofErr w:type="spellEnd"/>
      <w:r>
        <w:t xml:space="preserve"> changes in flood conveyance</w:t>
      </w:r>
      <w:r w:rsidR="228F8899">
        <w:t xml:space="preserve"> related to the geomorphic change</w:t>
      </w:r>
      <w:r>
        <w:t>.</w:t>
      </w:r>
    </w:p>
    <w:p w14:paraId="6BA219FC" w14:textId="7206E547" w:rsidR="00661283" w:rsidRPr="00BA7BE9" w:rsidRDefault="00661283" w:rsidP="00680CE8">
      <w:pPr>
        <w:pStyle w:val="Caption"/>
        <w:keepNext/>
        <w:spacing w:after="120"/>
        <w:rPr>
          <w:rFonts w:ascii="Times New Roman" w:hAnsi="Times New Roman" w:cs="Times New Roman"/>
          <w:sz w:val="22"/>
          <w:szCs w:val="24"/>
        </w:rPr>
      </w:pPr>
      <w:bookmarkStart w:id="3" w:name="_Ref235795551"/>
      <w:r w:rsidRPr="00BA7BE9">
        <w:rPr>
          <w:rFonts w:ascii="Times New Roman" w:hAnsi="Times New Roman" w:cs="Times New Roman"/>
          <w:sz w:val="22"/>
          <w:szCs w:val="24"/>
        </w:rPr>
        <w:t xml:space="preserve">Table </w:t>
      </w:r>
      <w:r w:rsidRPr="00BA7BE9">
        <w:rPr>
          <w:rFonts w:ascii="Times New Roman" w:hAnsi="Times New Roman" w:cs="Times New Roman"/>
          <w:sz w:val="22"/>
          <w:szCs w:val="24"/>
        </w:rPr>
        <w:fldChar w:fldCharType="begin"/>
      </w:r>
      <w:r w:rsidRPr="00BA7BE9">
        <w:rPr>
          <w:rFonts w:ascii="Times New Roman" w:hAnsi="Times New Roman" w:cs="Times New Roman"/>
          <w:sz w:val="22"/>
          <w:szCs w:val="24"/>
        </w:rPr>
        <w:instrText xml:space="preserve"> SEQ Table \* ARABIC </w:instrText>
      </w:r>
      <w:r w:rsidRPr="00BA7BE9">
        <w:rPr>
          <w:rFonts w:ascii="Times New Roman" w:hAnsi="Times New Roman" w:cs="Times New Roman"/>
          <w:sz w:val="22"/>
          <w:szCs w:val="24"/>
        </w:rPr>
        <w:fldChar w:fldCharType="separate"/>
      </w:r>
      <w:r w:rsidRPr="00BA7BE9">
        <w:rPr>
          <w:rFonts w:ascii="Times New Roman" w:hAnsi="Times New Roman" w:cs="Times New Roman"/>
          <w:noProof/>
          <w:sz w:val="22"/>
          <w:szCs w:val="24"/>
        </w:rPr>
        <w:t>2</w:t>
      </w:r>
      <w:r w:rsidRPr="00BA7BE9">
        <w:rPr>
          <w:rFonts w:ascii="Times New Roman" w:hAnsi="Times New Roman" w:cs="Times New Roman"/>
          <w:sz w:val="22"/>
          <w:szCs w:val="24"/>
        </w:rPr>
        <w:fldChar w:fldCharType="end"/>
      </w:r>
      <w:bookmarkEnd w:id="3"/>
      <w:r w:rsidRPr="00BA7BE9">
        <w:rPr>
          <w:rFonts w:ascii="Times New Roman" w:hAnsi="Times New Roman" w:cs="Times New Roman"/>
          <w:sz w:val="22"/>
          <w:szCs w:val="24"/>
        </w:rPr>
        <w:t xml:space="preserve">. </w:t>
      </w:r>
      <w:r w:rsidR="00DF40AA">
        <w:rPr>
          <w:rFonts w:ascii="Times New Roman" w:hAnsi="Times New Roman" w:cs="Times New Roman"/>
          <w:sz w:val="22"/>
          <w:szCs w:val="24"/>
        </w:rPr>
        <w:t>Summary of c</w:t>
      </w:r>
      <w:r w:rsidR="00BA7BE9">
        <w:rPr>
          <w:rFonts w:ascii="Times New Roman" w:hAnsi="Times New Roman" w:cs="Times New Roman"/>
          <w:sz w:val="22"/>
          <w:szCs w:val="24"/>
        </w:rPr>
        <w:t>hannel enlargement mechanisms</w:t>
      </w:r>
      <w:r w:rsidR="00DF40AA">
        <w:rPr>
          <w:rFonts w:ascii="Times New Roman" w:hAnsi="Times New Roman" w:cs="Times New Roman"/>
          <w:sz w:val="22"/>
          <w:szCs w:val="24"/>
        </w:rPr>
        <w:t xml:space="preserve"> and magnitude</w:t>
      </w:r>
      <w:r w:rsidR="007B3767" w:rsidRPr="00BA7BE9">
        <w:rPr>
          <w:rFonts w:ascii="Times New Roman" w:hAnsi="Times New Roman" w:cs="Times New Roman"/>
          <w:sz w:val="22"/>
          <w:szCs w:val="24"/>
        </w:rPr>
        <w:t xml:space="preserve"> for the four case stud</w:t>
      </w:r>
      <w:r w:rsidR="00DF40AA">
        <w:rPr>
          <w:rFonts w:ascii="Times New Roman" w:hAnsi="Times New Roman" w:cs="Times New Roman"/>
          <w:sz w:val="22"/>
          <w:szCs w:val="24"/>
        </w:rPr>
        <w:t xml:space="preserve">y </w:t>
      </w:r>
      <w:r w:rsidR="00C82869">
        <w:rPr>
          <w:rFonts w:ascii="Times New Roman" w:hAnsi="Times New Roman" w:cs="Times New Roman"/>
          <w:sz w:val="22"/>
          <w:szCs w:val="24"/>
        </w:rPr>
        <w:t>areas.</w:t>
      </w:r>
    </w:p>
    <w:tbl>
      <w:tblPr>
        <w:tblW w:w="10065" w:type="dxa"/>
        <w:tblCellSpacing w:w="15" w:type="dxa"/>
        <w:tblBorders>
          <w:insideH w:val="single" w:sz="2" w:space="0" w:color="auto"/>
        </w:tblBorders>
        <w:tblLook w:val="04A0" w:firstRow="1" w:lastRow="0" w:firstColumn="1" w:lastColumn="0" w:noHBand="0" w:noVBand="1"/>
      </w:tblPr>
      <w:tblGrid>
        <w:gridCol w:w="1329"/>
        <w:gridCol w:w="4908"/>
        <w:gridCol w:w="2410"/>
        <w:gridCol w:w="1418"/>
      </w:tblGrid>
      <w:tr w:rsidR="00E53DC5" w:rsidRPr="00626A02" w14:paraId="5E83D2D9" w14:textId="77777777" w:rsidTr="002A207E">
        <w:trPr>
          <w:tblCellSpacing w:w="15" w:type="dxa"/>
        </w:trPr>
        <w:tc>
          <w:tcPr>
            <w:tcW w:w="0" w:type="auto"/>
            <w:shd w:val="clear" w:color="auto" w:fill="000000" w:themeFill="text1"/>
            <w:tcMar>
              <w:top w:w="15" w:type="dxa"/>
              <w:left w:w="15" w:type="dxa"/>
              <w:bottom w:w="15" w:type="dxa"/>
              <w:right w:w="15" w:type="dxa"/>
            </w:tcMar>
            <w:vAlign w:val="center"/>
            <w:hideMark/>
          </w:tcPr>
          <w:p w14:paraId="4D7CA85F" w14:textId="77777777" w:rsidR="00E53DC5" w:rsidRPr="002A207E" w:rsidRDefault="00E53DC5" w:rsidP="002F2433">
            <w:pPr>
              <w:spacing w:after="40"/>
              <w:rPr>
                <w:b/>
                <w:bCs/>
                <w:color w:val="FFFFFF" w:themeColor="background1"/>
                <w:lang w:val="en-AU"/>
              </w:rPr>
            </w:pPr>
            <w:r w:rsidRPr="002A207E">
              <w:rPr>
                <w:b/>
                <w:bCs/>
                <w:color w:val="FFFFFF" w:themeColor="background1"/>
                <w:lang w:val="en-AU"/>
              </w:rPr>
              <w:t>Case study</w:t>
            </w:r>
          </w:p>
        </w:tc>
        <w:tc>
          <w:tcPr>
            <w:tcW w:w="4878" w:type="dxa"/>
            <w:shd w:val="clear" w:color="auto" w:fill="000000" w:themeFill="text1"/>
            <w:tcMar>
              <w:top w:w="15" w:type="dxa"/>
              <w:left w:w="15" w:type="dxa"/>
              <w:bottom w:w="15" w:type="dxa"/>
              <w:right w:w="15" w:type="dxa"/>
            </w:tcMar>
            <w:vAlign w:val="center"/>
            <w:hideMark/>
          </w:tcPr>
          <w:p w14:paraId="42542804" w14:textId="687742F8" w:rsidR="00E53DC5" w:rsidRPr="002A207E" w:rsidRDefault="007F6B7A" w:rsidP="002F2433">
            <w:pPr>
              <w:spacing w:after="40"/>
              <w:rPr>
                <w:b/>
                <w:bCs/>
                <w:color w:val="FFFFFF" w:themeColor="background1"/>
                <w:lang w:val="en-AU"/>
              </w:rPr>
            </w:pPr>
            <w:r>
              <w:rPr>
                <w:b/>
                <w:bCs/>
                <w:color w:val="FFFFFF" w:themeColor="background1"/>
                <w:lang w:val="en-AU"/>
              </w:rPr>
              <w:t>Channel e</w:t>
            </w:r>
            <w:r w:rsidR="00A251DC">
              <w:rPr>
                <w:b/>
                <w:bCs/>
                <w:color w:val="FFFFFF" w:themeColor="background1"/>
                <w:lang w:val="en-AU"/>
              </w:rPr>
              <w:t>nlargement mechanism</w:t>
            </w:r>
            <w:r>
              <w:rPr>
                <w:b/>
                <w:bCs/>
                <w:color w:val="FFFFFF" w:themeColor="background1"/>
                <w:lang w:val="en-AU"/>
              </w:rPr>
              <w:t>s</w:t>
            </w:r>
          </w:p>
        </w:tc>
        <w:tc>
          <w:tcPr>
            <w:tcW w:w="2380" w:type="dxa"/>
            <w:shd w:val="clear" w:color="auto" w:fill="000000" w:themeFill="text1"/>
            <w:tcMar>
              <w:top w:w="15" w:type="dxa"/>
              <w:left w:w="15" w:type="dxa"/>
              <w:bottom w:w="15" w:type="dxa"/>
              <w:right w:w="15" w:type="dxa"/>
            </w:tcMar>
            <w:vAlign w:val="center"/>
            <w:hideMark/>
          </w:tcPr>
          <w:p w14:paraId="7CEA2F6E" w14:textId="7D9AE4C0" w:rsidR="00E53DC5" w:rsidRPr="002A207E" w:rsidRDefault="00644365" w:rsidP="002F2433">
            <w:pPr>
              <w:spacing w:after="40"/>
              <w:rPr>
                <w:b/>
                <w:bCs/>
                <w:color w:val="FFFFFF" w:themeColor="background1"/>
                <w:lang w:val="en-AU"/>
              </w:rPr>
            </w:pPr>
            <w:r>
              <w:rPr>
                <w:b/>
                <w:bCs/>
                <w:color w:val="FFFFFF" w:themeColor="background1"/>
                <w:lang w:val="en-AU"/>
              </w:rPr>
              <w:t>Dominant geomorphic processes</w:t>
            </w:r>
          </w:p>
        </w:tc>
        <w:tc>
          <w:tcPr>
            <w:tcW w:w="1373" w:type="dxa"/>
            <w:shd w:val="clear" w:color="auto" w:fill="000000" w:themeFill="text1"/>
            <w:tcMar>
              <w:top w:w="15" w:type="dxa"/>
              <w:left w:w="15" w:type="dxa"/>
              <w:bottom w:w="15" w:type="dxa"/>
              <w:right w:w="15" w:type="dxa"/>
            </w:tcMar>
            <w:vAlign w:val="center"/>
            <w:hideMark/>
          </w:tcPr>
          <w:p w14:paraId="3F2A8D84" w14:textId="1CE35E8D" w:rsidR="00E53DC5" w:rsidRPr="002A207E" w:rsidRDefault="00125814" w:rsidP="002F2433">
            <w:pPr>
              <w:spacing w:after="40"/>
              <w:rPr>
                <w:b/>
                <w:bCs/>
                <w:color w:val="FFFFFF" w:themeColor="background1"/>
                <w:lang w:val="en-AU"/>
              </w:rPr>
            </w:pPr>
            <w:r>
              <w:rPr>
                <w:b/>
                <w:bCs/>
                <w:color w:val="FFFFFF" w:themeColor="background1"/>
                <w:lang w:val="en-AU"/>
              </w:rPr>
              <w:t>Degree</w:t>
            </w:r>
            <w:r w:rsidR="00E53DC5" w:rsidRPr="002A207E">
              <w:rPr>
                <w:b/>
                <w:bCs/>
                <w:color w:val="FFFFFF" w:themeColor="background1"/>
                <w:lang w:val="en-AU"/>
              </w:rPr>
              <w:t xml:space="preserve"> of</w:t>
            </w:r>
            <w:r w:rsidR="00680CE8" w:rsidRPr="002A207E">
              <w:rPr>
                <w:b/>
                <w:bCs/>
                <w:color w:val="FFFFFF" w:themeColor="background1"/>
                <w:lang w:val="en-AU"/>
              </w:rPr>
              <w:t xml:space="preserve"> channel</w:t>
            </w:r>
            <w:r w:rsidR="00E53DC5" w:rsidRPr="002A207E">
              <w:rPr>
                <w:b/>
                <w:bCs/>
                <w:color w:val="FFFFFF" w:themeColor="background1"/>
                <w:lang w:val="en-AU"/>
              </w:rPr>
              <w:t xml:space="preserve"> enlargement</w:t>
            </w:r>
          </w:p>
        </w:tc>
      </w:tr>
      <w:tr w:rsidR="00E53DC5" w:rsidRPr="00626A02" w14:paraId="2E0F2C06" w14:textId="77777777" w:rsidTr="002A207E">
        <w:trPr>
          <w:tblCellSpacing w:w="15" w:type="dxa"/>
        </w:trPr>
        <w:tc>
          <w:tcPr>
            <w:tcW w:w="0" w:type="auto"/>
            <w:tcBorders>
              <w:top w:val="single" w:sz="2" w:space="0" w:color="auto"/>
              <w:bottom w:val="nil"/>
            </w:tcBorders>
            <w:tcMar>
              <w:top w:w="15" w:type="dxa"/>
              <w:left w:w="15" w:type="dxa"/>
              <w:bottom w:w="15" w:type="dxa"/>
              <w:right w:w="15" w:type="dxa"/>
            </w:tcMar>
            <w:vAlign w:val="center"/>
            <w:hideMark/>
          </w:tcPr>
          <w:p w14:paraId="023CBD21" w14:textId="77777777" w:rsidR="00E53DC5" w:rsidRPr="00626A02" w:rsidRDefault="00E53DC5" w:rsidP="002F2433">
            <w:pPr>
              <w:spacing w:after="40"/>
              <w:rPr>
                <w:lang w:val="en-AU"/>
              </w:rPr>
            </w:pPr>
            <w:r w:rsidRPr="00626A02">
              <w:rPr>
                <w:b/>
                <w:bCs/>
                <w:lang w:val="en-AU"/>
              </w:rPr>
              <w:t>Blackfellow Creek</w:t>
            </w:r>
          </w:p>
        </w:tc>
        <w:tc>
          <w:tcPr>
            <w:tcW w:w="4878" w:type="dxa"/>
            <w:tcBorders>
              <w:top w:val="single" w:sz="2" w:space="0" w:color="auto"/>
              <w:bottom w:val="nil"/>
            </w:tcBorders>
            <w:tcMar>
              <w:top w:w="15" w:type="dxa"/>
              <w:left w:w="15" w:type="dxa"/>
              <w:bottom w:w="15" w:type="dxa"/>
              <w:right w:w="15" w:type="dxa"/>
            </w:tcMar>
            <w:vAlign w:val="center"/>
            <w:hideMark/>
          </w:tcPr>
          <w:p w14:paraId="6F305CD9" w14:textId="77777777" w:rsidR="00E53DC5" w:rsidRPr="00626A02" w:rsidRDefault="00E53DC5" w:rsidP="002F2433">
            <w:pPr>
              <w:spacing w:after="40"/>
              <w:rPr>
                <w:lang w:val="en-AU"/>
              </w:rPr>
            </w:pPr>
            <w:r w:rsidRPr="00626A02">
              <w:rPr>
                <w:lang w:val="en-AU"/>
              </w:rPr>
              <w:t>Extensive channel widening through bank scour and large-scale meander migration, with a major chute cutoff causing additional channel enlargement and sediment mobilisation. Enlargement occurred over several kilometres.</w:t>
            </w:r>
          </w:p>
        </w:tc>
        <w:tc>
          <w:tcPr>
            <w:tcW w:w="2380" w:type="dxa"/>
            <w:tcBorders>
              <w:top w:val="single" w:sz="2" w:space="0" w:color="auto"/>
              <w:bottom w:val="nil"/>
            </w:tcBorders>
            <w:tcMar>
              <w:top w:w="15" w:type="dxa"/>
              <w:left w:w="15" w:type="dxa"/>
              <w:bottom w:w="15" w:type="dxa"/>
              <w:right w:w="15" w:type="dxa"/>
            </w:tcMar>
            <w:vAlign w:val="center"/>
            <w:hideMark/>
          </w:tcPr>
          <w:p w14:paraId="5F488564" w14:textId="77777777" w:rsidR="00E53DC5" w:rsidRPr="00626A02" w:rsidRDefault="00E53DC5" w:rsidP="002F2433">
            <w:pPr>
              <w:spacing w:after="40"/>
              <w:rPr>
                <w:lang w:val="en-AU"/>
              </w:rPr>
            </w:pPr>
            <w:r w:rsidRPr="00626A02">
              <w:rPr>
                <w:lang w:val="en-AU"/>
              </w:rPr>
              <w:t>Lateral migration, bank erosion and chute cutoff</w:t>
            </w:r>
          </w:p>
        </w:tc>
        <w:tc>
          <w:tcPr>
            <w:tcW w:w="1373" w:type="dxa"/>
            <w:tcBorders>
              <w:top w:val="single" w:sz="2" w:space="0" w:color="auto"/>
              <w:bottom w:val="nil"/>
            </w:tcBorders>
            <w:tcMar>
              <w:top w:w="15" w:type="dxa"/>
              <w:left w:w="15" w:type="dxa"/>
              <w:bottom w:w="15" w:type="dxa"/>
              <w:right w:w="15" w:type="dxa"/>
            </w:tcMar>
            <w:vAlign w:val="center"/>
            <w:hideMark/>
          </w:tcPr>
          <w:p w14:paraId="7C323B05" w14:textId="77777777" w:rsidR="00E53DC5" w:rsidRPr="0067044E" w:rsidRDefault="00E53DC5" w:rsidP="002F2433">
            <w:pPr>
              <w:spacing w:after="40"/>
              <w:rPr>
                <w:lang w:val="en-AU"/>
              </w:rPr>
            </w:pPr>
            <w:r w:rsidRPr="0067044E">
              <w:rPr>
                <w:lang w:val="en-AU"/>
              </w:rPr>
              <w:t>High</w:t>
            </w:r>
          </w:p>
        </w:tc>
      </w:tr>
      <w:tr w:rsidR="00E53DC5" w:rsidRPr="00626A02" w14:paraId="7843F7F6" w14:textId="77777777" w:rsidTr="002A207E">
        <w:trPr>
          <w:tblCellSpacing w:w="15" w:type="dxa"/>
        </w:trPr>
        <w:tc>
          <w:tcPr>
            <w:tcW w:w="0" w:type="auto"/>
            <w:tcBorders>
              <w:top w:val="single" w:sz="2" w:space="0" w:color="auto"/>
              <w:bottom w:val="nil"/>
            </w:tcBorders>
            <w:tcMar>
              <w:top w:w="15" w:type="dxa"/>
              <w:left w:w="15" w:type="dxa"/>
              <w:bottom w:w="15" w:type="dxa"/>
              <w:right w:w="15" w:type="dxa"/>
            </w:tcMar>
            <w:vAlign w:val="center"/>
            <w:hideMark/>
          </w:tcPr>
          <w:p w14:paraId="1718A9BD" w14:textId="77777777" w:rsidR="00E53DC5" w:rsidRPr="00626A02" w:rsidRDefault="00E53DC5" w:rsidP="002F2433">
            <w:pPr>
              <w:spacing w:after="40"/>
              <w:rPr>
                <w:lang w:val="en-AU"/>
              </w:rPr>
            </w:pPr>
            <w:r w:rsidRPr="00626A02">
              <w:rPr>
                <w:b/>
                <w:bCs/>
                <w:lang w:val="en-AU"/>
              </w:rPr>
              <w:t>Laidley Creek</w:t>
            </w:r>
          </w:p>
        </w:tc>
        <w:tc>
          <w:tcPr>
            <w:tcW w:w="4878" w:type="dxa"/>
            <w:tcBorders>
              <w:top w:val="single" w:sz="2" w:space="0" w:color="auto"/>
              <w:bottom w:val="nil"/>
            </w:tcBorders>
            <w:tcMar>
              <w:top w:w="15" w:type="dxa"/>
              <w:left w:w="15" w:type="dxa"/>
              <w:bottom w:w="15" w:type="dxa"/>
              <w:right w:w="15" w:type="dxa"/>
            </w:tcMar>
            <w:vAlign w:val="center"/>
            <w:hideMark/>
          </w:tcPr>
          <w:p w14:paraId="28347D0C" w14:textId="77777777" w:rsidR="00E53DC5" w:rsidRPr="00626A02" w:rsidRDefault="00E53DC5" w:rsidP="002F2433">
            <w:pPr>
              <w:spacing w:after="40"/>
              <w:rPr>
                <w:lang w:val="en-AU"/>
              </w:rPr>
            </w:pPr>
            <w:r w:rsidRPr="00626A02">
              <w:rPr>
                <w:lang w:val="en-AU"/>
              </w:rPr>
              <w:t>Progressive channel incision within the inset channel accompanied by channel widening and loss of the narrow riparian corridor. Enlargement reflects both deepening and widening of the active channel.</w:t>
            </w:r>
          </w:p>
        </w:tc>
        <w:tc>
          <w:tcPr>
            <w:tcW w:w="2380" w:type="dxa"/>
            <w:tcBorders>
              <w:top w:val="single" w:sz="2" w:space="0" w:color="auto"/>
              <w:bottom w:val="nil"/>
            </w:tcBorders>
            <w:tcMar>
              <w:top w:w="15" w:type="dxa"/>
              <w:left w:w="15" w:type="dxa"/>
              <w:bottom w:w="15" w:type="dxa"/>
              <w:right w:w="15" w:type="dxa"/>
            </w:tcMar>
            <w:vAlign w:val="center"/>
            <w:hideMark/>
          </w:tcPr>
          <w:p w14:paraId="2BEF5E39" w14:textId="77777777" w:rsidR="00E53DC5" w:rsidRPr="00626A02" w:rsidRDefault="00E53DC5" w:rsidP="002F2433">
            <w:pPr>
              <w:spacing w:after="40"/>
              <w:rPr>
                <w:lang w:val="en-AU"/>
              </w:rPr>
            </w:pPr>
            <w:r w:rsidRPr="00626A02">
              <w:rPr>
                <w:lang w:val="en-AU"/>
              </w:rPr>
              <w:t>Incision and widening</w:t>
            </w:r>
          </w:p>
        </w:tc>
        <w:tc>
          <w:tcPr>
            <w:tcW w:w="1373" w:type="dxa"/>
            <w:tcBorders>
              <w:top w:val="single" w:sz="2" w:space="0" w:color="auto"/>
              <w:bottom w:val="nil"/>
            </w:tcBorders>
            <w:tcMar>
              <w:top w:w="15" w:type="dxa"/>
              <w:left w:w="15" w:type="dxa"/>
              <w:bottom w:w="15" w:type="dxa"/>
              <w:right w:w="15" w:type="dxa"/>
            </w:tcMar>
            <w:vAlign w:val="center"/>
            <w:hideMark/>
          </w:tcPr>
          <w:p w14:paraId="18FE8BC0" w14:textId="77777777" w:rsidR="00E53DC5" w:rsidRPr="0067044E" w:rsidRDefault="00E53DC5" w:rsidP="002F2433">
            <w:pPr>
              <w:spacing w:after="40"/>
              <w:rPr>
                <w:lang w:val="en-AU"/>
              </w:rPr>
            </w:pPr>
            <w:r w:rsidRPr="0067044E">
              <w:rPr>
                <w:lang w:val="en-AU"/>
              </w:rPr>
              <w:t>High</w:t>
            </w:r>
          </w:p>
        </w:tc>
      </w:tr>
      <w:tr w:rsidR="00E53DC5" w:rsidRPr="00626A02" w14:paraId="2D70086D" w14:textId="77777777" w:rsidTr="002A207E">
        <w:trPr>
          <w:tblCellSpacing w:w="15" w:type="dxa"/>
        </w:trPr>
        <w:tc>
          <w:tcPr>
            <w:tcW w:w="0" w:type="auto"/>
            <w:tcBorders>
              <w:top w:val="single" w:sz="2" w:space="0" w:color="auto"/>
              <w:bottom w:val="nil"/>
            </w:tcBorders>
            <w:tcMar>
              <w:top w:w="15" w:type="dxa"/>
              <w:left w:w="15" w:type="dxa"/>
              <w:bottom w:w="15" w:type="dxa"/>
              <w:right w:w="15" w:type="dxa"/>
            </w:tcMar>
            <w:vAlign w:val="center"/>
            <w:hideMark/>
          </w:tcPr>
          <w:p w14:paraId="628C8B31" w14:textId="77777777" w:rsidR="00E53DC5" w:rsidRPr="00626A02" w:rsidRDefault="00E53DC5" w:rsidP="002F2433">
            <w:pPr>
              <w:spacing w:after="40"/>
              <w:rPr>
                <w:lang w:val="en-AU"/>
              </w:rPr>
            </w:pPr>
            <w:r w:rsidRPr="00626A02">
              <w:rPr>
                <w:b/>
                <w:bCs/>
                <w:lang w:val="en-AU"/>
              </w:rPr>
              <w:t>Oxley Creek</w:t>
            </w:r>
          </w:p>
        </w:tc>
        <w:tc>
          <w:tcPr>
            <w:tcW w:w="4878" w:type="dxa"/>
            <w:tcBorders>
              <w:top w:val="single" w:sz="2" w:space="0" w:color="auto"/>
              <w:bottom w:val="nil"/>
            </w:tcBorders>
            <w:tcMar>
              <w:top w:w="15" w:type="dxa"/>
              <w:left w:w="15" w:type="dxa"/>
              <w:bottom w:w="15" w:type="dxa"/>
              <w:right w:w="15" w:type="dxa"/>
            </w:tcMar>
            <w:vAlign w:val="center"/>
            <w:hideMark/>
          </w:tcPr>
          <w:p w14:paraId="44C4D1E8" w14:textId="760418A0" w:rsidR="00E53DC5" w:rsidRPr="00626A02" w:rsidRDefault="00E53DC5" w:rsidP="002F2433">
            <w:pPr>
              <w:spacing w:after="40"/>
              <w:rPr>
                <w:lang w:val="en-AU"/>
              </w:rPr>
            </w:pPr>
            <w:r w:rsidRPr="00626A02">
              <w:rPr>
                <w:lang w:val="en-AU"/>
              </w:rPr>
              <w:t>Very substantial channel widening following historical sand extraction and subsequent channel instability. The channel more than doubled in size and conveyance capacity at representative cross sections.</w:t>
            </w:r>
          </w:p>
        </w:tc>
        <w:tc>
          <w:tcPr>
            <w:tcW w:w="2380" w:type="dxa"/>
            <w:tcBorders>
              <w:top w:val="single" w:sz="2" w:space="0" w:color="auto"/>
              <w:bottom w:val="nil"/>
            </w:tcBorders>
            <w:tcMar>
              <w:top w:w="15" w:type="dxa"/>
              <w:left w:w="15" w:type="dxa"/>
              <w:bottom w:w="15" w:type="dxa"/>
              <w:right w:w="15" w:type="dxa"/>
            </w:tcMar>
            <w:vAlign w:val="center"/>
            <w:hideMark/>
          </w:tcPr>
          <w:p w14:paraId="4B27F918" w14:textId="77777777" w:rsidR="00E53DC5" w:rsidRPr="00626A02" w:rsidRDefault="00E53DC5" w:rsidP="002F2433">
            <w:pPr>
              <w:spacing w:after="40"/>
              <w:rPr>
                <w:lang w:val="en-AU"/>
              </w:rPr>
            </w:pPr>
            <w:r w:rsidRPr="00626A02">
              <w:rPr>
                <w:lang w:val="en-AU"/>
              </w:rPr>
              <w:t>Anthropogenically triggered widening and channel metamorphosis</w:t>
            </w:r>
          </w:p>
        </w:tc>
        <w:tc>
          <w:tcPr>
            <w:tcW w:w="1373" w:type="dxa"/>
            <w:tcBorders>
              <w:top w:val="single" w:sz="2" w:space="0" w:color="auto"/>
              <w:bottom w:val="nil"/>
            </w:tcBorders>
            <w:tcMar>
              <w:top w:w="15" w:type="dxa"/>
              <w:left w:w="15" w:type="dxa"/>
              <w:bottom w:w="15" w:type="dxa"/>
              <w:right w:w="15" w:type="dxa"/>
            </w:tcMar>
            <w:vAlign w:val="center"/>
            <w:hideMark/>
          </w:tcPr>
          <w:p w14:paraId="578BE8D5" w14:textId="77777777" w:rsidR="00E53DC5" w:rsidRPr="0067044E" w:rsidRDefault="00E53DC5" w:rsidP="002F2433">
            <w:pPr>
              <w:spacing w:after="40"/>
              <w:rPr>
                <w:lang w:val="en-AU"/>
              </w:rPr>
            </w:pPr>
            <w:r w:rsidRPr="0067044E">
              <w:rPr>
                <w:lang w:val="en-AU"/>
              </w:rPr>
              <w:t>Very high</w:t>
            </w:r>
          </w:p>
        </w:tc>
      </w:tr>
      <w:tr w:rsidR="00E53DC5" w:rsidRPr="00626A02" w14:paraId="5F6CA8B3" w14:textId="77777777" w:rsidTr="002A207E">
        <w:trPr>
          <w:tblCellSpacing w:w="15" w:type="dxa"/>
        </w:trPr>
        <w:tc>
          <w:tcPr>
            <w:tcW w:w="0" w:type="auto"/>
            <w:tcMar>
              <w:top w:w="15" w:type="dxa"/>
              <w:left w:w="15" w:type="dxa"/>
              <w:bottom w:w="15" w:type="dxa"/>
              <w:right w:w="15" w:type="dxa"/>
            </w:tcMar>
            <w:vAlign w:val="center"/>
            <w:hideMark/>
          </w:tcPr>
          <w:p w14:paraId="3DFFF74B" w14:textId="77777777" w:rsidR="00E53DC5" w:rsidRPr="00626A02" w:rsidRDefault="00E53DC5" w:rsidP="002F2433">
            <w:pPr>
              <w:spacing w:after="40"/>
              <w:rPr>
                <w:lang w:val="en-AU"/>
              </w:rPr>
            </w:pPr>
            <w:r w:rsidRPr="00626A02">
              <w:rPr>
                <w:b/>
                <w:bCs/>
                <w:lang w:val="en-AU"/>
              </w:rPr>
              <w:t>Upper Warrill Creek</w:t>
            </w:r>
          </w:p>
        </w:tc>
        <w:tc>
          <w:tcPr>
            <w:tcW w:w="4878" w:type="dxa"/>
            <w:tcMar>
              <w:top w:w="15" w:type="dxa"/>
              <w:left w:w="15" w:type="dxa"/>
              <w:bottom w:w="15" w:type="dxa"/>
              <w:right w:w="15" w:type="dxa"/>
            </w:tcMar>
            <w:vAlign w:val="center"/>
            <w:hideMark/>
          </w:tcPr>
          <w:p w14:paraId="1FBECCD8" w14:textId="77777777" w:rsidR="00E53DC5" w:rsidRPr="00626A02" w:rsidRDefault="00E53DC5" w:rsidP="002F2433">
            <w:pPr>
              <w:spacing w:after="40"/>
              <w:rPr>
                <w:lang w:val="en-AU"/>
              </w:rPr>
            </w:pPr>
            <w:r w:rsidRPr="00626A02">
              <w:rPr>
                <w:lang w:val="en-AU"/>
              </w:rPr>
              <w:t>Widespread bank scour, meander migration and channel widening with localised areas of both erosion and deposition, producing variable increases and decreases in channel cross-sectional area along the reach.</w:t>
            </w:r>
          </w:p>
        </w:tc>
        <w:tc>
          <w:tcPr>
            <w:tcW w:w="2380" w:type="dxa"/>
            <w:tcMar>
              <w:top w:w="15" w:type="dxa"/>
              <w:left w:w="15" w:type="dxa"/>
              <w:bottom w:w="15" w:type="dxa"/>
              <w:right w:w="15" w:type="dxa"/>
            </w:tcMar>
            <w:vAlign w:val="center"/>
            <w:hideMark/>
          </w:tcPr>
          <w:p w14:paraId="28EAC9CD" w14:textId="77777777" w:rsidR="00E53DC5" w:rsidRPr="00626A02" w:rsidRDefault="00E53DC5" w:rsidP="002F2433">
            <w:pPr>
              <w:spacing w:after="40"/>
              <w:rPr>
                <w:lang w:val="en-AU"/>
              </w:rPr>
            </w:pPr>
            <w:r w:rsidRPr="00626A02">
              <w:rPr>
                <w:lang w:val="en-AU"/>
              </w:rPr>
              <w:t>Lateral migration with sediment redistribution</w:t>
            </w:r>
          </w:p>
        </w:tc>
        <w:tc>
          <w:tcPr>
            <w:tcW w:w="1373" w:type="dxa"/>
            <w:tcMar>
              <w:top w:w="15" w:type="dxa"/>
              <w:left w:w="15" w:type="dxa"/>
              <w:bottom w:w="15" w:type="dxa"/>
              <w:right w:w="15" w:type="dxa"/>
            </w:tcMar>
            <w:vAlign w:val="center"/>
            <w:hideMark/>
          </w:tcPr>
          <w:p w14:paraId="524C97E9" w14:textId="77777777" w:rsidR="00E53DC5" w:rsidRPr="0067044E" w:rsidRDefault="00E53DC5" w:rsidP="002F2433">
            <w:pPr>
              <w:spacing w:after="40"/>
              <w:rPr>
                <w:lang w:val="en-AU"/>
              </w:rPr>
            </w:pPr>
            <w:r w:rsidRPr="0067044E">
              <w:rPr>
                <w:lang w:val="en-AU"/>
              </w:rPr>
              <w:t>Moderate to high</w:t>
            </w:r>
          </w:p>
        </w:tc>
      </w:tr>
    </w:tbl>
    <w:p w14:paraId="4E0A51B1" w14:textId="77777777" w:rsidR="0067044E" w:rsidRDefault="0067044E" w:rsidP="004B4E09"/>
    <w:p w14:paraId="288B546A" w14:textId="78C8E51C" w:rsidR="00DF1536" w:rsidRDefault="54A88E18" w:rsidP="004B4E09">
      <w:r>
        <w:lastRenderedPageBreak/>
        <w:t xml:space="preserve"> </w:t>
      </w:r>
      <w:r w:rsidR="00DF1536" w:rsidRPr="00D95096">
        <w:t xml:space="preserve">The assessment </w:t>
      </w:r>
      <w:r w:rsidR="00DF1536">
        <w:t xml:space="preserve">results for each case study catchment are summarised below: </w:t>
      </w:r>
    </w:p>
    <w:p w14:paraId="043235F0" w14:textId="77777777" w:rsidR="00DF1536" w:rsidRPr="00641DF6" w:rsidRDefault="00DF1536" w:rsidP="00DF1536">
      <w:pPr>
        <w:pStyle w:val="ListParagraph"/>
        <w:numPr>
          <w:ilvl w:val="0"/>
          <w:numId w:val="24"/>
        </w:numPr>
        <w:rPr>
          <w:rFonts w:ascii="Times New Roman" w:hAnsi="Times New Roman" w:cs="Times New Roman"/>
          <w:sz w:val="22"/>
          <w:szCs w:val="22"/>
        </w:rPr>
      </w:pPr>
      <w:r w:rsidRPr="00641DF6">
        <w:rPr>
          <w:rFonts w:ascii="Times New Roman" w:hAnsi="Times New Roman" w:cs="Times New Roman"/>
          <w:sz w:val="22"/>
          <w:szCs w:val="22"/>
        </w:rPr>
        <w:t>In the Laidley Creek model, channel enlargement resulted led to increases in peak flow, with the impact most evident in the 2% AEP event, where peak flows increased by close to 14% (</w:t>
      </w:r>
      <w:r w:rsidRPr="00641DF6">
        <w:rPr>
          <w:rFonts w:ascii="Times New Roman" w:hAnsi="Times New Roman" w:cs="Times New Roman"/>
          <w:sz w:val="22"/>
          <w:szCs w:val="22"/>
        </w:rPr>
        <w:fldChar w:fldCharType="begin"/>
      </w:r>
      <w:r w:rsidRPr="00641DF6">
        <w:rPr>
          <w:rFonts w:ascii="Times New Roman" w:hAnsi="Times New Roman" w:cs="Times New Roman"/>
          <w:sz w:val="22"/>
          <w:szCs w:val="22"/>
        </w:rPr>
        <w:instrText xml:space="preserve"> REF _Ref229654422 \h  \* MERGEFORMAT </w:instrText>
      </w:r>
      <w:r w:rsidRPr="00641DF6">
        <w:rPr>
          <w:rFonts w:ascii="Times New Roman" w:hAnsi="Times New Roman" w:cs="Times New Roman"/>
          <w:sz w:val="22"/>
          <w:szCs w:val="22"/>
        </w:rPr>
      </w:r>
      <w:r w:rsidRPr="00641DF6">
        <w:rPr>
          <w:rFonts w:ascii="Times New Roman" w:hAnsi="Times New Roman" w:cs="Times New Roman"/>
          <w:sz w:val="22"/>
          <w:szCs w:val="22"/>
        </w:rPr>
        <w:fldChar w:fldCharType="separate"/>
      </w:r>
      <w:r w:rsidRPr="00641DF6">
        <w:rPr>
          <w:rFonts w:ascii="Times New Roman" w:hAnsi="Times New Roman" w:cs="Times New Roman"/>
          <w:sz w:val="22"/>
          <w:szCs w:val="22"/>
        </w:rPr>
        <w:t xml:space="preserve">Figure </w:t>
      </w:r>
      <w:r w:rsidRPr="00641DF6">
        <w:rPr>
          <w:rFonts w:ascii="Times New Roman" w:hAnsi="Times New Roman" w:cs="Times New Roman"/>
          <w:noProof/>
          <w:sz w:val="22"/>
          <w:szCs w:val="22"/>
        </w:rPr>
        <w:t>3</w:t>
      </w:r>
      <w:r w:rsidRPr="00641DF6">
        <w:rPr>
          <w:rFonts w:ascii="Times New Roman" w:hAnsi="Times New Roman" w:cs="Times New Roman"/>
          <w:sz w:val="22"/>
          <w:szCs w:val="22"/>
        </w:rPr>
        <w:fldChar w:fldCharType="end"/>
      </w:r>
      <w:r w:rsidRPr="00641DF6">
        <w:rPr>
          <w:rFonts w:ascii="Times New Roman" w:hAnsi="Times New Roman" w:cs="Times New Roman"/>
          <w:sz w:val="22"/>
          <w:szCs w:val="22"/>
        </w:rPr>
        <w:t xml:space="preserve">). In the events modelled, the flood peak arrived between 30 and 90 minutes earlier due to more efficient conveyance. </w:t>
      </w:r>
    </w:p>
    <w:p w14:paraId="154BD9FC" w14:textId="77777777" w:rsidR="00DF1536" w:rsidRPr="00641DF6" w:rsidRDefault="00DF1536" w:rsidP="00DF1536">
      <w:pPr>
        <w:pStyle w:val="ListParagraph"/>
        <w:numPr>
          <w:ilvl w:val="0"/>
          <w:numId w:val="24"/>
        </w:numPr>
        <w:rPr>
          <w:rFonts w:ascii="Times New Roman" w:hAnsi="Times New Roman" w:cs="Times New Roman"/>
          <w:sz w:val="22"/>
          <w:szCs w:val="22"/>
        </w:rPr>
      </w:pPr>
      <w:r w:rsidRPr="00641DF6">
        <w:rPr>
          <w:rFonts w:ascii="Times New Roman" w:hAnsi="Times New Roman" w:cs="Times New Roman"/>
          <w:sz w:val="22"/>
          <w:szCs w:val="22"/>
        </w:rPr>
        <w:t xml:space="preserve">In contrast, at Blackfellow Creek, changes to peak flows were negligible in the larger flood events and largest in the 50% AEP event, where flow had increased by ~4% in the 50% AEP event. The largest change in timing (flood wave celerity) was observed in the 50% AEP event, with the flood peak arriving 15 minutes earlier in the post-erosion case. </w:t>
      </w:r>
    </w:p>
    <w:p w14:paraId="19F648F4" w14:textId="77777777" w:rsidR="00DF1536" w:rsidRPr="00641DF6" w:rsidRDefault="00DF1536" w:rsidP="00DF1536">
      <w:pPr>
        <w:pStyle w:val="ListParagraph"/>
        <w:numPr>
          <w:ilvl w:val="0"/>
          <w:numId w:val="24"/>
        </w:numPr>
        <w:rPr>
          <w:rFonts w:ascii="Times New Roman" w:hAnsi="Times New Roman" w:cs="Times New Roman"/>
          <w:sz w:val="22"/>
          <w:szCs w:val="22"/>
        </w:rPr>
      </w:pPr>
      <w:r w:rsidRPr="00641DF6">
        <w:rPr>
          <w:rFonts w:ascii="Times New Roman" w:hAnsi="Times New Roman" w:cs="Times New Roman"/>
          <w:sz w:val="22"/>
          <w:szCs w:val="22"/>
        </w:rPr>
        <w:t>In Upper Warrill Creek, there was an increase in peak flow of 9% in the 2% AEP event. Channel enlargement resulted in an increase in channel conveyance due to a reduction in floodplain storage during this event.</w:t>
      </w:r>
    </w:p>
    <w:p w14:paraId="5CD93A6C" w14:textId="6C51FECE" w:rsidR="00C04AE8" w:rsidRPr="00C04AE8" w:rsidRDefault="00DF1536" w:rsidP="00680CE8">
      <w:pPr>
        <w:pStyle w:val="ListParagraph"/>
        <w:numPr>
          <w:ilvl w:val="0"/>
          <w:numId w:val="24"/>
        </w:numPr>
      </w:pPr>
      <w:r w:rsidRPr="00641DF6">
        <w:rPr>
          <w:rFonts w:ascii="Times New Roman" w:hAnsi="Times New Roman" w:cs="Times New Roman"/>
          <w:sz w:val="22"/>
          <w:szCs w:val="22"/>
        </w:rPr>
        <w:t xml:space="preserve">In the Oxley Creek case study, there was less change in flooding behaviour observed compared to the other case studies. This is likely due to the shorter length of reach impacted by erosion and the large backwater effect associated with a valley constriction and Greenwood Lakes.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086"/>
      </w:tblGrid>
      <w:tr w:rsidR="00DF1536" w:rsidRPr="00D95096" w14:paraId="6EFC4B77" w14:textId="77777777" w:rsidTr="00CC4795">
        <w:tc>
          <w:tcPr>
            <w:tcW w:w="4939" w:type="dxa"/>
          </w:tcPr>
          <w:p w14:paraId="3B89B611" w14:textId="77777777" w:rsidR="00DF1536" w:rsidRPr="00D95096" w:rsidRDefault="00DF1536" w:rsidP="006301BA">
            <w:pPr>
              <w:spacing w:after="120"/>
              <w:rPr>
                <w:b/>
                <w:bCs/>
              </w:rPr>
            </w:pPr>
            <w:r w:rsidRPr="00D95096">
              <w:rPr>
                <w:b/>
                <w:bCs/>
              </w:rPr>
              <w:t xml:space="preserve">Pre-erosion channel form </w:t>
            </w:r>
          </w:p>
        </w:tc>
        <w:tc>
          <w:tcPr>
            <w:tcW w:w="4078" w:type="dxa"/>
          </w:tcPr>
          <w:p w14:paraId="2D1A8F68" w14:textId="16522555" w:rsidR="00DF1536" w:rsidRPr="00D95096" w:rsidRDefault="00DF1536" w:rsidP="006301BA">
            <w:pPr>
              <w:spacing w:after="120"/>
            </w:pPr>
            <w:r w:rsidRPr="00D95096">
              <w:rPr>
                <w:b/>
                <w:bCs/>
              </w:rPr>
              <w:t>Post</w:t>
            </w:r>
            <w:r w:rsidR="00D122A2">
              <w:rPr>
                <w:b/>
                <w:bCs/>
              </w:rPr>
              <w:t>-</w:t>
            </w:r>
            <w:r w:rsidRPr="00D95096">
              <w:rPr>
                <w:b/>
                <w:bCs/>
              </w:rPr>
              <w:t>erosional channel enlargement</w:t>
            </w:r>
            <w:r w:rsidRPr="00D95096">
              <w:t xml:space="preserve"> </w:t>
            </w:r>
          </w:p>
        </w:tc>
      </w:tr>
      <w:tr w:rsidR="00DF1536" w:rsidRPr="00D95096" w14:paraId="701A71EB" w14:textId="77777777" w:rsidTr="00CC4795">
        <w:tc>
          <w:tcPr>
            <w:tcW w:w="4939" w:type="dxa"/>
          </w:tcPr>
          <w:p w14:paraId="5FE80765" w14:textId="77777777" w:rsidR="00DF1536" w:rsidRPr="00D95096" w:rsidRDefault="00DF1536" w:rsidP="00CC4795">
            <w:pPr>
              <w:spacing w:after="120"/>
              <w:jc w:val="right"/>
            </w:pPr>
            <w:r w:rsidRPr="00D95096">
              <w:rPr>
                <w:noProof/>
              </w:rPr>
              <w:drawing>
                <wp:inline distT="0" distB="0" distL="0" distR="0" wp14:anchorId="670FC210" wp14:editId="6E5ABD31">
                  <wp:extent cx="2392326" cy="1212019"/>
                  <wp:effectExtent l="0" t="0" r="8255" b="7620"/>
                  <wp:docPr id="1060197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790" cy="1219347"/>
                          </a:xfrm>
                          <a:prstGeom prst="rect">
                            <a:avLst/>
                          </a:prstGeom>
                          <a:noFill/>
                        </pic:spPr>
                      </pic:pic>
                    </a:graphicData>
                  </a:graphic>
                </wp:inline>
              </w:drawing>
            </w:r>
          </w:p>
        </w:tc>
        <w:tc>
          <w:tcPr>
            <w:tcW w:w="4078" w:type="dxa"/>
          </w:tcPr>
          <w:p w14:paraId="63708E92" w14:textId="77777777" w:rsidR="00DF1536" w:rsidRPr="00D95096" w:rsidRDefault="00DF1536" w:rsidP="006301BA">
            <w:pPr>
              <w:spacing w:after="120"/>
            </w:pPr>
            <w:r w:rsidRPr="00D95096">
              <w:rPr>
                <w:noProof/>
              </w:rPr>
              <w:drawing>
                <wp:inline distT="0" distB="0" distL="0" distR="0" wp14:anchorId="013DEF57" wp14:editId="401392A1">
                  <wp:extent cx="2457450" cy="1236573"/>
                  <wp:effectExtent l="0" t="0" r="0" b="1905"/>
                  <wp:docPr id="2665768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7808" cy="1241785"/>
                          </a:xfrm>
                          <a:prstGeom prst="rect">
                            <a:avLst/>
                          </a:prstGeom>
                          <a:noFill/>
                        </pic:spPr>
                      </pic:pic>
                    </a:graphicData>
                  </a:graphic>
                </wp:inline>
              </w:drawing>
            </w:r>
          </w:p>
        </w:tc>
      </w:tr>
      <w:tr w:rsidR="00DF1536" w:rsidRPr="00D95096" w14:paraId="79CCA148" w14:textId="77777777" w:rsidTr="00CC4795">
        <w:tc>
          <w:tcPr>
            <w:tcW w:w="4939" w:type="dxa"/>
          </w:tcPr>
          <w:p w14:paraId="41914061" w14:textId="77777777" w:rsidR="00DF1536" w:rsidRPr="00D95096" w:rsidRDefault="00DF1536" w:rsidP="00CC4795">
            <w:pPr>
              <w:spacing w:after="120"/>
              <w:jc w:val="right"/>
            </w:pPr>
            <w:r w:rsidRPr="00D95096">
              <w:rPr>
                <w:noProof/>
              </w:rPr>
              <w:drawing>
                <wp:inline distT="0" distB="0" distL="0" distR="0" wp14:anchorId="49ED02E8" wp14:editId="1575F4C4">
                  <wp:extent cx="2392045" cy="1495371"/>
                  <wp:effectExtent l="0" t="0" r="8255" b="0"/>
                  <wp:docPr id="1655064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419"/>
                          <a:stretch/>
                        </pic:blipFill>
                        <pic:spPr bwMode="auto">
                          <a:xfrm>
                            <a:off x="0" y="0"/>
                            <a:ext cx="2410048" cy="15066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78" w:type="dxa"/>
          </w:tcPr>
          <w:p w14:paraId="7C5F9463" w14:textId="77777777" w:rsidR="00DF1536" w:rsidRPr="00D95096" w:rsidRDefault="00DF1536" w:rsidP="006301BA">
            <w:pPr>
              <w:keepNext/>
              <w:spacing w:after="120"/>
            </w:pPr>
            <w:r w:rsidRPr="00D95096">
              <w:rPr>
                <w:noProof/>
              </w:rPr>
              <w:drawing>
                <wp:inline distT="0" distB="0" distL="0" distR="0" wp14:anchorId="0E48E71F" wp14:editId="0246BF07">
                  <wp:extent cx="2392325" cy="1495836"/>
                  <wp:effectExtent l="0" t="0" r="8255" b="9525"/>
                  <wp:docPr id="197226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621" t="33212" r="32059" b="26159"/>
                          <a:stretch/>
                        </pic:blipFill>
                        <pic:spPr bwMode="auto">
                          <a:xfrm>
                            <a:off x="0" y="0"/>
                            <a:ext cx="2402584" cy="15022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544928" w14:textId="721AAB8B" w:rsidR="00DF1536" w:rsidRPr="00D95096" w:rsidRDefault="00DF1536" w:rsidP="00DF1536">
      <w:pPr>
        <w:pStyle w:val="Caption"/>
        <w:spacing w:after="0"/>
        <w:rPr>
          <w:rFonts w:ascii="Times New Roman" w:hAnsi="Times New Roman" w:cs="Times New Roman"/>
          <w:noProof/>
          <w:sz w:val="22"/>
          <w:szCs w:val="22"/>
        </w:rPr>
      </w:pPr>
      <w:bookmarkStart w:id="4" w:name="_Ref196469831"/>
      <w:r w:rsidRPr="00D95096">
        <w:rPr>
          <w:rFonts w:ascii="Times New Roman" w:hAnsi="Times New Roman" w:cs="Times New Roman"/>
          <w:sz w:val="22"/>
          <w:szCs w:val="22"/>
        </w:rPr>
        <w:t xml:space="preserve">Figure </w:t>
      </w:r>
      <w:r w:rsidRPr="00D95096">
        <w:rPr>
          <w:rFonts w:ascii="Times New Roman" w:hAnsi="Times New Roman" w:cs="Times New Roman"/>
          <w:sz w:val="22"/>
          <w:szCs w:val="22"/>
        </w:rPr>
        <w:fldChar w:fldCharType="begin"/>
      </w:r>
      <w:r w:rsidRPr="00D95096">
        <w:rPr>
          <w:rFonts w:ascii="Times New Roman" w:hAnsi="Times New Roman" w:cs="Times New Roman"/>
          <w:sz w:val="22"/>
          <w:szCs w:val="22"/>
        </w:rPr>
        <w:instrText>SEQ Figure \* ARABIC</w:instrText>
      </w:r>
      <w:r w:rsidRPr="00D95096">
        <w:rPr>
          <w:rFonts w:ascii="Times New Roman" w:hAnsi="Times New Roman" w:cs="Times New Roman"/>
          <w:sz w:val="22"/>
          <w:szCs w:val="22"/>
        </w:rPr>
        <w:fldChar w:fldCharType="separate"/>
      </w:r>
      <w:r w:rsidR="0067044E">
        <w:rPr>
          <w:rFonts w:ascii="Times New Roman" w:hAnsi="Times New Roman" w:cs="Times New Roman"/>
          <w:noProof/>
          <w:sz w:val="22"/>
          <w:szCs w:val="22"/>
        </w:rPr>
        <w:t>2</w:t>
      </w:r>
      <w:r w:rsidRPr="00D95096">
        <w:rPr>
          <w:rFonts w:ascii="Times New Roman" w:hAnsi="Times New Roman" w:cs="Times New Roman"/>
          <w:sz w:val="22"/>
          <w:szCs w:val="22"/>
        </w:rPr>
        <w:fldChar w:fldCharType="end"/>
      </w:r>
      <w:bookmarkEnd w:id="4"/>
      <w:r w:rsidRPr="00D95096">
        <w:rPr>
          <w:rFonts w:ascii="Times New Roman" w:hAnsi="Times New Roman" w:cs="Times New Roman"/>
          <w:sz w:val="22"/>
          <w:szCs w:val="22"/>
        </w:rPr>
        <w:t xml:space="preserve">. </w:t>
      </w:r>
      <w:r w:rsidRPr="003920CE">
        <w:rPr>
          <w:rFonts w:ascii="Times New Roman" w:hAnsi="Times New Roman" w:cs="Times New Roman"/>
          <w:b w:val="0"/>
          <w:bCs w:val="0"/>
          <w:i/>
          <w:iCs/>
          <w:sz w:val="22"/>
          <w:szCs w:val="22"/>
        </w:rPr>
        <w:t>The impacts of erosional channel enlargement on key hydraulic processes</w:t>
      </w:r>
    </w:p>
    <w:p w14:paraId="4E876310" w14:textId="77777777" w:rsidR="00DF1536" w:rsidRPr="00D95096" w:rsidRDefault="00DF1536" w:rsidP="00DF1536">
      <w:pPr>
        <w:keepNext/>
        <w:spacing w:before="120" w:after="120"/>
        <w:jc w:val="center"/>
      </w:pPr>
      <w:r w:rsidRPr="00D95096">
        <w:rPr>
          <w:noProof/>
        </w:rPr>
        <w:drawing>
          <wp:inline distT="0" distB="0" distL="0" distR="0" wp14:anchorId="66BE9649" wp14:editId="38986701">
            <wp:extent cx="4251521" cy="1838325"/>
            <wp:effectExtent l="0" t="0" r="0" b="0"/>
            <wp:docPr id="510238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2380" b="4010"/>
                    <a:stretch>
                      <a:fillRect/>
                    </a:stretch>
                  </pic:blipFill>
                  <pic:spPr bwMode="auto">
                    <a:xfrm>
                      <a:off x="0" y="0"/>
                      <a:ext cx="4288321" cy="1854237"/>
                    </a:xfrm>
                    <a:prstGeom prst="rect">
                      <a:avLst/>
                    </a:prstGeom>
                    <a:noFill/>
                    <a:ln>
                      <a:noFill/>
                    </a:ln>
                    <a:extLst>
                      <a:ext uri="{53640926-AAD7-44D8-BBD7-CCE9431645EC}">
                        <a14:shadowObscured xmlns:a14="http://schemas.microsoft.com/office/drawing/2010/main"/>
                      </a:ext>
                    </a:extLst>
                  </pic:spPr>
                </pic:pic>
              </a:graphicData>
            </a:graphic>
          </wp:inline>
        </w:drawing>
      </w:r>
    </w:p>
    <w:p w14:paraId="7A4611D0" w14:textId="63E858F8" w:rsidR="00CC4795" w:rsidRPr="00CC4795" w:rsidRDefault="00DF1536" w:rsidP="00CC4795">
      <w:pPr>
        <w:pStyle w:val="Caption"/>
        <w:spacing w:after="360"/>
        <w:rPr>
          <w:rFonts w:ascii="Times New Roman" w:hAnsi="Times New Roman" w:cs="Times New Roman"/>
          <w:sz w:val="22"/>
          <w:szCs w:val="22"/>
        </w:rPr>
      </w:pPr>
      <w:bookmarkStart w:id="5" w:name="_Ref229654422"/>
      <w:r w:rsidRPr="00D95096">
        <w:rPr>
          <w:rFonts w:ascii="Times New Roman" w:hAnsi="Times New Roman" w:cs="Times New Roman"/>
          <w:sz w:val="22"/>
          <w:szCs w:val="22"/>
        </w:rPr>
        <w:t xml:space="preserve">Figure </w:t>
      </w:r>
      <w:r w:rsidRPr="00D95096">
        <w:rPr>
          <w:rFonts w:ascii="Times New Roman" w:hAnsi="Times New Roman" w:cs="Times New Roman"/>
          <w:sz w:val="22"/>
          <w:szCs w:val="22"/>
        </w:rPr>
        <w:fldChar w:fldCharType="begin"/>
      </w:r>
      <w:r w:rsidRPr="00D95096">
        <w:rPr>
          <w:rFonts w:ascii="Times New Roman" w:hAnsi="Times New Roman" w:cs="Times New Roman"/>
          <w:sz w:val="22"/>
          <w:szCs w:val="22"/>
        </w:rPr>
        <w:instrText>SEQ Figure \* ARABIC</w:instrText>
      </w:r>
      <w:r w:rsidRPr="00D95096">
        <w:rPr>
          <w:rFonts w:ascii="Times New Roman" w:hAnsi="Times New Roman" w:cs="Times New Roman"/>
          <w:sz w:val="22"/>
          <w:szCs w:val="22"/>
        </w:rPr>
        <w:fldChar w:fldCharType="separate"/>
      </w:r>
      <w:r w:rsidR="0067044E">
        <w:rPr>
          <w:rFonts w:ascii="Times New Roman" w:hAnsi="Times New Roman" w:cs="Times New Roman"/>
          <w:noProof/>
          <w:sz w:val="22"/>
          <w:szCs w:val="22"/>
        </w:rPr>
        <w:t>3</w:t>
      </w:r>
      <w:r w:rsidRPr="00D95096">
        <w:rPr>
          <w:rFonts w:ascii="Times New Roman" w:hAnsi="Times New Roman" w:cs="Times New Roman"/>
          <w:sz w:val="22"/>
          <w:szCs w:val="22"/>
        </w:rPr>
        <w:fldChar w:fldCharType="end"/>
      </w:r>
      <w:bookmarkEnd w:id="5"/>
      <w:r w:rsidRPr="00D95096">
        <w:rPr>
          <w:rFonts w:ascii="Times New Roman" w:hAnsi="Times New Roman" w:cs="Times New Roman"/>
          <w:sz w:val="22"/>
          <w:szCs w:val="22"/>
        </w:rPr>
        <w:t xml:space="preserve">. </w:t>
      </w:r>
      <w:r w:rsidRPr="00D95096">
        <w:rPr>
          <w:rFonts w:ascii="Times New Roman" w:hAnsi="Times New Roman" w:cs="Times New Roman"/>
          <w:b w:val="0"/>
          <w:bCs w:val="0"/>
          <w:i/>
          <w:iCs/>
          <w:sz w:val="22"/>
          <w:szCs w:val="22"/>
        </w:rPr>
        <w:t>Example from Laidley Creek in south east Queensland showing a 1</w:t>
      </w:r>
      <w:r w:rsidR="009230DB">
        <w:rPr>
          <w:rFonts w:ascii="Times New Roman" w:hAnsi="Times New Roman" w:cs="Times New Roman"/>
          <w:b w:val="0"/>
          <w:bCs w:val="0"/>
          <w:i/>
          <w:iCs/>
          <w:sz w:val="22"/>
          <w:szCs w:val="22"/>
        </w:rPr>
        <w:t>4</w:t>
      </w:r>
      <w:r w:rsidRPr="00D95096">
        <w:rPr>
          <w:rFonts w:ascii="Times New Roman" w:hAnsi="Times New Roman" w:cs="Times New Roman"/>
          <w:b w:val="0"/>
          <w:bCs w:val="0"/>
          <w:i/>
          <w:iCs/>
          <w:sz w:val="22"/>
          <w:szCs w:val="22"/>
        </w:rPr>
        <w:t xml:space="preserve">% increase in peak discharge for the 2% </w:t>
      </w:r>
      <w:r w:rsidRPr="00661283">
        <w:rPr>
          <w:rFonts w:ascii="Times New Roman" w:hAnsi="Times New Roman" w:cs="Times New Roman"/>
          <w:b w:val="0"/>
          <w:bCs w:val="0"/>
          <w:i/>
          <w:iCs/>
          <w:sz w:val="22"/>
          <w:szCs w:val="22"/>
        </w:rPr>
        <w:t>AEP event</w:t>
      </w:r>
      <w:r w:rsidRPr="00680CE8">
        <w:rPr>
          <w:rFonts w:ascii="Times New Roman" w:hAnsi="Times New Roman" w:cs="Times New Roman"/>
          <w:b w:val="0"/>
          <w:bCs w:val="0"/>
          <w:i/>
          <w:iCs/>
          <w:sz w:val="22"/>
          <w:szCs w:val="22"/>
        </w:rPr>
        <w:t xml:space="preserve"> </w:t>
      </w:r>
      <w:r w:rsidR="00E571E8" w:rsidRPr="00680CE8">
        <w:rPr>
          <w:rFonts w:ascii="Times New Roman" w:hAnsi="Times New Roman" w:cs="Times New Roman"/>
          <w:b w:val="0"/>
          <w:bCs w:val="0"/>
          <w:i/>
          <w:iCs/>
          <w:sz w:val="22"/>
          <w:szCs w:val="22"/>
        </w:rPr>
        <w:t>(</w:t>
      </w:r>
      <w:r w:rsidR="00127FCA" w:rsidRPr="00680CE8">
        <w:rPr>
          <w:rFonts w:ascii="Times New Roman" w:hAnsi="Times New Roman" w:cs="Times New Roman"/>
          <w:b w:val="0"/>
          <w:bCs w:val="0"/>
          <w:i/>
          <w:iCs/>
          <w:sz w:val="22"/>
          <w:szCs w:val="22"/>
        </w:rPr>
        <w:t>Alluvium</w:t>
      </w:r>
      <w:r w:rsidR="00661283" w:rsidRPr="00680CE8">
        <w:rPr>
          <w:rFonts w:ascii="Times New Roman" w:hAnsi="Times New Roman" w:cs="Times New Roman"/>
          <w:b w:val="0"/>
          <w:bCs w:val="0"/>
          <w:i/>
          <w:iCs/>
          <w:sz w:val="22"/>
          <w:szCs w:val="22"/>
        </w:rPr>
        <w:t xml:space="preserve"> Consulting</w:t>
      </w:r>
      <w:r w:rsidR="00127FCA" w:rsidRPr="00680CE8">
        <w:rPr>
          <w:rFonts w:ascii="Times New Roman" w:hAnsi="Times New Roman" w:cs="Times New Roman"/>
          <w:b w:val="0"/>
          <w:bCs w:val="0"/>
          <w:i/>
          <w:iCs/>
          <w:sz w:val="22"/>
          <w:szCs w:val="22"/>
        </w:rPr>
        <w:t>, 2025</w:t>
      </w:r>
      <w:r w:rsidR="00E571E8" w:rsidRPr="00680CE8">
        <w:rPr>
          <w:rFonts w:ascii="Times New Roman" w:hAnsi="Times New Roman" w:cs="Times New Roman"/>
          <w:b w:val="0"/>
          <w:bCs w:val="0"/>
          <w:i/>
          <w:iCs/>
          <w:sz w:val="22"/>
          <w:szCs w:val="22"/>
        </w:rPr>
        <w:t>)</w:t>
      </w:r>
      <w:r w:rsidR="00661283" w:rsidRPr="00680CE8">
        <w:rPr>
          <w:rFonts w:ascii="Times New Roman" w:hAnsi="Times New Roman" w:cs="Times New Roman"/>
          <w:b w:val="0"/>
          <w:bCs w:val="0"/>
          <w:i/>
          <w:iCs/>
          <w:sz w:val="22"/>
          <w:szCs w:val="22"/>
        </w:rPr>
        <w:t>.</w:t>
      </w:r>
    </w:p>
    <w:p w14:paraId="2FD46F28" w14:textId="2037084C" w:rsidR="00DF1536" w:rsidRDefault="00DF1536" w:rsidP="00DF1536">
      <w:r w:rsidRPr="00D95096">
        <w:t>Given that many of these systems have been enlarging over the past 50–100 years, it is likely that the cumulative impacts</w:t>
      </w:r>
      <w:r>
        <w:t xml:space="preserve"> of channel enlargement</w:t>
      </w:r>
      <w:r w:rsidRPr="00D95096">
        <w:t xml:space="preserve"> on flow conveyance and flood behaviour are significantly greater over longer timescales.</w:t>
      </w:r>
    </w:p>
    <w:p w14:paraId="038D8D2B" w14:textId="0EB5D934" w:rsidR="001968FE" w:rsidRPr="00637711" w:rsidRDefault="0031297C" w:rsidP="00DF1536">
      <w:pPr>
        <w:rPr>
          <w:b/>
          <w:bCs/>
        </w:rPr>
      </w:pPr>
      <w:r w:rsidRPr="00637711">
        <w:rPr>
          <w:b/>
          <w:bCs/>
        </w:rPr>
        <w:lastRenderedPageBreak/>
        <w:t>K</w:t>
      </w:r>
      <w:r w:rsidR="001968FE" w:rsidRPr="00637711">
        <w:rPr>
          <w:b/>
          <w:bCs/>
        </w:rPr>
        <w:t xml:space="preserve">ey findings from the case study </w:t>
      </w:r>
      <w:r w:rsidRPr="00637711">
        <w:rPr>
          <w:b/>
          <w:bCs/>
        </w:rPr>
        <w:t>investigations:</w:t>
      </w:r>
    </w:p>
    <w:p w14:paraId="35ABC49A" w14:textId="5F5EDAE0" w:rsidR="0090440A" w:rsidRPr="00865206" w:rsidRDefault="00145F47" w:rsidP="00145F47">
      <w:pPr>
        <w:pStyle w:val="ListParagraph"/>
        <w:numPr>
          <w:ilvl w:val="0"/>
          <w:numId w:val="31"/>
        </w:numPr>
        <w:rPr>
          <w:rFonts w:ascii="Times New Roman" w:hAnsi="Times New Roman" w:cs="Times New Roman"/>
          <w:sz w:val="22"/>
          <w:szCs w:val="22"/>
        </w:rPr>
      </w:pPr>
      <w:r w:rsidRPr="0031297C">
        <w:rPr>
          <w:rFonts w:ascii="Times New Roman" w:hAnsi="Times New Roman" w:cs="Times New Roman"/>
          <w:sz w:val="22"/>
          <w:szCs w:val="22"/>
        </w:rPr>
        <w:t xml:space="preserve">Reach-scale </w:t>
      </w:r>
      <w:r w:rsidRPr="00AD54E0">
        <w:rPr>
          <w:rFonts w:ascii="Times New Roman" w:hAnsi="Times New Roman" w:cs="Times New Roman"/>
          <w:b/>
          <w:sz w:val="22"/>
          <w:szCs w:val="22"/>
        </w:rPr>
        <w:t xml:space="preserve">channel enlargement due to erosional channel change can </w:t>
      </w:r>
      <w:r w:rsidR="0031297C" w:rsidRPr="00AD54E0">
        <w:rPr>
          <w:rFonts w:ascii="Times New Roman" w:hAnsi="Times New Roman" w:cs="Times New Roman"/>
          <w:b/>
          <w:sz w:val="22"/>
          <w:szCs w:val="22"/>
        </w:rPr>
        <w:t>significantly</w:t>
      </w:r>
      <w:r w:rsidRPr="00AD54E0">
        <w:rPr>
          <w:rFonts w:ascii="Times New Roman" w:hAnsi="Times New Roman" w:cs="Times New Roman"/>
          <w:b/>
          <w:sz w:val="22"/>
          <w:szCs w:val="22"/>
        </w:rPr>
        <w:t xml:space="preserve"> </w:t>
      </w:r>
      <w:r w:rsidRPr="00AD54E0">
        <w:rPr>
          <w:rFonts w:ascii="Times New Roman" w:hAnsi="Times New Roman" w:cs="Times New Roman"/>
          <w:b/>
          <w:bCs/>
          <w:sz w:val="22"/>
          <w:szCs w:val="22"/>
        </w:rPr>
        <w:t>increase</w:t>
      </w:r>
      <w:r w:rsidRPr="00AD54E0">
        <w:rPr>
          <w:rFonts w:ascii="Times New Roman" w:hAnsi="Times New Roman" w:cs="Times New Roman"/>
          <w:b/>
          <w:sz w:val="22"/>
          <w:szCs w:val="22"/>
        </w:rPr>
        <w:t xml:space="preserve"> flood peaks in large flood events, </w:t>
      </w:r>
      <w:r w:rsidRPr="00865206">
        <w:rPr>
          <w:rFonts w:ascii="Times New Roman" w:hAnsi="Times New Roman" w:cs="Times New Roman"/>
          <w:sz w:val="22"/>
          <w:szCs w:val="22"/>
        </w:rPr>
        <w:t xml:space="preserve">with </w:t>
      </w:r>
      <w:r w:rsidR="0031297C" w:rsidRPr="00865206">
        <w:rPr>
          <w:rFonts w:ascii="Times New Roman" w:hAnsi="Times New Roman" w:cs="Times New Roman"/>
          <w:sz w:val="22"/>
          <w:szCs w:val="22"/>
        </w:rPr>
        <w:t xml:space="preserve">a </w:t>
      </w:r>
      <w:r w:rsidRPr="00865206">
        <w:rPr>
          <w:rFonts w:ascii="Times New Roman" w:hAnsi="Times New Roman" w:cs="Times New Roman"/>
          <w:sz w:val="22"/>
          <w:szCs w:val="22"/>
        </w:rPr>
        <w:t xml:space="preserve">close to 14% increase </w:t>
      </w:r>
      <w:r w:rsidR="00492F1D" w:rsidRPr="00865206">
        <w:rPr>
          <w:rFonts w:ascii="Times New Roman" w:hAnsi="Times New Roman" w:cs="Times New Roman"/>
          <w:sz w:val="22"/>
          <w:szCs w:val="22"/>
        </w:rPr>
        <w:t>in peak flow</w:t>
      </w:r>
      <w:r w:rsidR="0031297C" w:rsidRPr="00865206">
        <w:rPr>
          <w:rFonts w:ascii="Times New Roman" w:hAnsi="Times New Roman" w:cs="Times New Roman"/>
          <w:sz w:val="22"/>
          <w:szCs w:val="22"/>
        </w:rPr>
        <w:t xml:space="preserve"> observed</w:t>
      </w:r>
      <w:r w:rsidR="00EC1AFD" w:rsidRPr="00865206">
        <w:rPr>
          <w:rFonts w:ascii="Times New Roman" w:hAnsi="Times New Roman" w:cs="Times New Roman"/>
          <w:sz w:val="22"/>
          <w:szCs w:val="22"/>
        </w:rPr>
        <w:t xml:space="preserve"> for Laidley Creek</w:t>
      </w:r>
      <w:r w:rsidR="00492F1D" w:rsidRPr="00865206">
        <w:rPr>
          <w:rFonts w:ascii="Times New Roman" w:hAnsi="Times New Roman" w:cs="Times New Roman"/>
          <w:sz w:val="22"/>
          <w:szCs w:val="22"/>
        </w:rPr>
        <w:t xml:space="preserve"> in the 2% AEP event </w:t>
      </w:r>
      <w:r w:rsidR="002B31D8" w:rsidRPr="00865206">
        <w:rPr>
          <w:rFonts w:ascii="Times New Roman" w:hAnsi="Times New Roman" w:cs="Times New Roman"/>
          <w:sz w:val="22"/>
          <w:szCs w:val="22"/>
        </w:rPr>
        <w:t xml:space="preserve">solely </w:t>
      </w:r>
      <w:r w:rsidR="00492F1D" w:rsidRPr="00865206">
        <w:rPr>
          <w:rFonts w:ascii="Times New Roman" w:hAnsi="Times New Roman" w:cs="Times New Roman"/>
          <w:sz w:val="22"/>
          <w:szCs w:val="22"/>
        </w:rPr>
        <w:t xml:space="preserve">due to erosional channel change that occurred </w:t>
      </w:r>
      <w:r w:rsidR="0090440A" w:rsidRPr="00865206">
        <w:rPr>
          <w:rFonts w:ascii="Times New Roman" w:hAnsi="Times New Roman" w:cs="Times New Roman"/>
          <w:sz w:val="22"/>
          <w:szCs w:val="22"/>
        </w:rPr>
        <w:t>over an 11-year period (between 2011 and 2022).</w:t>
      </w:r>
    </w:p>
    <w:p w14:paraId="123B11E6" w14:textId="37199123" w:rsidR="00D520FC" w:rsidRPr="00D520FC" w:rsidRDefault="00492F1D" w:rsidP="00D520FC">
      <w:pPr>
        <w:pStyle w:val="ListParagraph"/>
        <w:numPr>
          <w:ilvl w:val="0"/>
          <w:numId w:val="31"/>
        </w:numPr>
        <w:rPr>
          <w:rFonts w:ascii="Times New Roman" w:hAnsi="Times New Roman" w:cs="Times New Roman"/>
          <w:sz w:val="22"/>
          <w:szCs w:val="22"/>
        </w:rPr>
      </w:pPr>
      <w:r w:rsidRPr="00865206">
        <w:rPr>
          <w:rFonts w:ascii="Times New Roman" w:hAnsi="Times New Roman" w:cs="Times New Roman"/>
          <w:sz w:val="22"/>
          <w:szCs w:val="22"/>
        </w:rPr>
        <w:t xml:space="preserve"> </w:t>
      </w:r>
      <w:r w:rsidR="00DF1536" w:rsidRPr="00865206">
        <w:rPr>
          <w:rFonts w:ascii="Times New Roman" w:hAnsi="Times New Roman" w:cs="Times New Roman"/>
          <w:sz w:val="22"/>
          <w:szCs w:val="22"/>
        </w:rPr>
        <w:t xml:space="preserve">The difference in results </w:t>
      </w:r>
      <w:r w:rsidR="00312914" w:rsidRPr="00865206">
        <w:rPr>
          <w:rFonts w:ascii="Times New Roman" w:hAnsi="Times New Roman" w:cs="Times New Roman"/>
          <w:sz w:val="22"/>
          <w:szCs w:val="22"/>
        </w:rPr>
        <w:t>for each of the</w:t>
      </w:r>
      <w:r w:rsidR="00DF1536" w:rsidRPr="00865206">
        <w:rPr>
          <w:rFonts w:ascii="Times New Roman" w:hAnsi="Times New Roman" w:cs="Times New Roman"/>
          <w:sz w:val="22"/>
          <w:szCs w:val="22"/>
        </w:rPr>
        <w:t xml:space="preserve"> case </w:t>
      </w:r>
      <w:r w:rsidR="005E72BE" w:rsidRPr="00865206">
        <w:rPr>
          <w:rFonts w:ascii="Times New Roman" w:hAnsi="Times New Roman" w:cs="Times New Roman"/>
          <w:sz w:val="22"/>
          <w:szCs w:val="22"/>
        </w:rPr>
        <w:t>studies</w:t>
      </w:r>
      <w:r w:rsidR="00DF1536" w:rsidRPr="00865206">
        <w:rPr>
          <w:rFonts w:ascii="Times New Roman" w:hAnsi="Times New Roman" w:cs="Times New Roman"/>
          <w:sz w:val="22"/>
          <w:szCs w:val="22"/>
        </w:rPr>
        <w:t xml:space="preserve"> </w:t>
      </w:r>
      <w:r w:rsidR="002E4DF5" w:rsidRPr="00865206">
        <w:rPr>
          <w:rFonts w:ascii="Times New Roman" w:hAnsi="Times New Roman" w:cs="Times New Roman"/>
          <w:sz w:val="22"/>
          <w:szCs w:val="22"/>
        </w:rPr>
        <w:t>highlights</w:t>
      </w:r>
      <w:r w:rsidR="00DF1536" w:rsidRPr="00865206">
        <w:rPr>
          <w:rFonts w:ascii="Times New Roman" w:hAnsi="Times New Roman" w:cs="Times New Roman"/>
          <w:sz w:val="22"/>
          <w:szCs w:val="22"/>
        </w:rPr>
        <w:t xml:space="preserve"> that </w:t>
      </w:r>
      <w:r w:rsidR="005E72BE" w:rsidRPr="00865206">
        <w:rPr>
          <w:rFonts w:ascii="Times New Roman" w:hAnsi="Times New Roman" w:cs="Times New Roman"/>
          <w:sz w:val="22"/>
          <w:szCs w:val="22"/>
        </w:rPr>
        <w:t>channel-floodplain connectivity</w:t>
      </w:r>
      <w:r w:rsidR="0045517F">
        <w:rPr>
          <w:rFonts w:ascii="Times New Roman" w:hAnsi="Times New Roman" w:cs="Times New Roman"/>
          <w:sz w:val="22"/>
          <w:szCs w:val="22"/>
        </w:rPr>
        <w:t xml:space="preserve"> </w:t>
      </w:r>
      <w:r w:rsidR="00AD54E0">
        <w:rPr>
          <w:rFonts w:ascii="Times New Roman" w:hAnsi="Times New Roman" w:cs="Times New Roman"/>
          <w:sz w:val="22"/>
          <w:szCs w:val="22"/>
        </w:rPr>
        <w:t xml:space="preserve">strongly </w:t>
      </w:r>
      <w:r w:rsidR="0045517F" w:rsidRPr="00D520FC">
        <w:rPr>
          <w:rFonts w:ascii="Times New Roman" w:hAnsi="Times New Roman" w:cs="Times New Roman"/>
          <w:sz w:val="22"/>
          <w:szCs w:val="22"/>
        </w:rPr>
        <w:t>influences downstream flood peaks</w:t>
      </w:r>
      <w:r w:rsidR="003D77E6" w:rsidRPr="00D520FC">
        <w:rPr>
          <w:rFonts w:ascii="Times New Roman" w:hAnsi="Times New Roman" w:cs="Times New Roman"/>
          <w:sz w:val="22"/>
          <w:szCs w:val="22"/>
        </w:rPr>
        <w:t xml:space="preserve">; </w:t>
      </w:r>
      <w:r w:rsidR="003D77E6" w:rsidRPr="00D520FC">
        <w:rPr>
          <w:rFonts w:ascii="Times New Roman" w:hAnsi="Times New Roman" w:cs="Times New Roman"/>
          <w:b/>
          <w:sz w:val="22"/>
          <w:szCs w:val="22"/>
        </w:rPr>
        <w:t>t</w:t>
      </w:r>
      <w:r w:rsidR="00DF1536" w:rsidRPr="00D520FC">
        <w:rPr>
          <w:rFonts w:ascii="Times New Roman" w:hAnsi="Times New Roman" w:cs="Times New Roman"/>
          <w:b/>
          <w:sz w:val="22"/>
          <w:szCs w:val="22"/>
        </w:rPr>
        <w:t xml:space="preserve">he greatest </w:t>
      </w:r>
      <w:r w:rsidR="005E72BE" w:rsidRPr="00D520FC">
        <w:rPr>
          <w:rFonts w:ascii="Times New Roman" w:hAnsi="Times New Roman" w:cs="Times New Roman"/>
          <w:b/>
          <w:sz w:val="22"/>
          <w:szCs w:val="22"/>
        </w:rPr>
        <w:t>increase in</w:t>
      </w:r>
      <w:r w:rsidR="00EA5150" w:rsidRPr="00D520FC">
        <w:rPr>
          <w:rFonts w:ascii="Times New Roman" w:hAnsi="Times New Roman" w:cs="Times New Roman"/>
          <w:b/>
          <w:sz w:val="22"/>
          <w:szCs w:val="22"/>
        </w:rPr>
        <w:t xml:space="preserve"> downstream flood peaks </w:t>
      </w:r>
      <w:r w:rsidR="00EA0A0B" w:rsidRPr="00AD54E0">
        <w:rPr>
          <w:rFonts w:ascii="Times New Roman" w:hAnsi="Times New Roman" w:cs="Times New Roman"/>
          <w:b/>
          <w:bCs/>
          <w:sz w:val="22"/>
          <w:szCs w:val="22"/>
        </w:rPr>
        <w:t>occur</w:t>
      </w:r>
      <w:r w:rsidR="00AD54E0">
        <w:rPr>
          <w:rFonts w:ascii="Times New Roman" w:hAnsi="Times New Roman" w:cs="Times New Roman"/>
          <w:b/>
          <w:bCs/>
          <w:sz w:val="22"/>
          <w:szCs w:val="22"/>
        </w:rPr>
        <w:t>red</w:t>
      </w:r>
      <w:r w:rsidR="00DF1536" w:rsidRPr="00D520FC">
        <w:rPr>
          <w:rFonts w:ascii="Times New Roman" w:hAnsi="Times New Roman" w:cs="Times New Roman"/>
          <w:b/>
          <w:sz w:val="22"/>
          <w:szCs w:val="22"/>
        </w:rPr>
        <w:t xml:space="preserve"> when the erosional channel change </w:t>
      </w:r>
      <w:r w:rsidR="00722554" w:rsidRPr="00AD54E0">
        <w:rPr>
          <w:rFonts w:ascii="Times New Roman" w:hAnsi="Times New Roman" w:cs="Times New Roman"/>
          <w:b/>
          <w:bCs/>
          <w:sz w:val="22"/>
          <w:szCs w:val="22"/>
        </w:rPr>
        <w:t>cause</w:t>
      </w:r>
      <w:r w:rsidR="00AD54E0">
        <w:rPr>
          <w:rFonts w:ascii="Times New Roman" w:hAnsi="Times New Roman" w:cs="Times New Roman"/>
          <w:b/>
          <w:bCs/>
          <w:sz w:val="22"/>
          <w:szCs w:val="22"/>
        </w:rPr>
        <w:t>d</w:t>
      </w:r>
      <w:r w:rsidR="00722554" w:rsidRPr="00D520FC">
        <w:rPr>
          <w:rFonts w:ascii="Times New Roman" w:hAnsi="Times New Roman" w:cs="Times New Roman"/>
          <w:b/>
          <w:sz w:val="22"/>
          <w:szCs w:val="22"/>
        </w:rPr>
        <w:t xml:space="preserve"> a reduction in</w:t>
      </w:r>
      <w:r w:rsidR="00BC620C" w:rsidRPr="00D520FC">
        <w:rPr>
          <w:rFonts w:ascii="Times New Roman" w:hAnsi="Times New Roman" w:cs="Times New Roman"/>
          <w:b/>
          <w:sz w:val="22"/>
          <w:szCs w:val="22"/>
        </w:rPr>
        <w:t xml:space="preserve"> floodplain engagement </w:t>
      </w:r>
      <w:r w:rsidR="00BC620C" w:rsidRPr="00D520FC">
        <w:rPr>
          <w:rFonts w:ascii="Times New Roman" w:hAnsi="Times New Roman" w:cs="Times New Roman"/>
          <w:sz w:val="22"/>
          <w:szCs w:val="22"/>
        </w:rPr>
        <w:t>(</w:t>
      </w:r>
      <w:r w:rsidR="00DF1536" w:rsidRPr="00D520FC">
        <w:rPr>
          <w:rFonts w:ascii="Times New Roman" w:hAnsi="Times New Roman" w:cs="Times New Roman"/>
          <w:sz w:val="22"/>
          <w:szCs w:val="22"/>
        </w:rPr>
        <w:t>result</w:t>
      </w:r>
      <w:r w:rsidR="005E72BE" w:rsidRPr="00D520FC">
        <w:rPr>
          <w:rFonts w:ascii="Times New Roman" w:hAnsi="Times New Roman" w:cs="Times New Roman"/>
          <w:sz w:val="22"/>
          <w:szCs w:val="22"/>
        </w:rPr>
        <w:t>ing</w:t>
      </w:r>
      <w:r w:rsidR="00DF1536" w:rsidRPr="00D520FC">
        <w:rPr>
          <w:rFonts w:ascii="Times New Roman" w:hAnsi="Times New Roman" w:cs="Times New Roman"/>
          <w:sz w:val="22"/>
          <w:szCs w:val="22"/>
        </w:rPr>
        <w:t xml:space="preserve"> in a significant reduction in floodplain storage</w:t>
      </w:r>
      <w:r w:rsidR="00BC620C" w:rsidRPr="00D520FC">
        <w:rPr>
          <w:rFonts w:ascii="Times New Roman" w:hAnsi="Times New Roman" w:cs="Times New Roman"/>
          <w:sz w:val="22"/>
          <w:szCs w:val="22"/>
        </w:rPr>
        <w:t>)</w:t>
      </w:r>
      <w:r w:rsidR="00DF1536" w:rsidRPr="00D520FC">
        <w:rPr>
          <w:rFonts w:ascii="Times New Roman" w:hAnsi="Times New Roman" w:cs="Times New Roman"/>
          <w:sz w:val="22"/>
          <w:szCs w:val="22"/>
        </w:rPr>
        <w:t>.</w:t>
      </w:r>
    </w:p>
    <w:p w14:paraId="120306F7" w14:textId="0BD94BFD" w:rsidR="00D520FC" w:rsidRPr="00D40F8F" w:rsidRDefault="002B31D8" w:rsidP="00D40F8F">
      <w:pPr>
        <w:pStyle w:val="ListParagraph"/>
        <w:numPr>
          <w:ilvl w:val="0"/>
          <w:numId w:val="31"/>
        </w:numPr>
        <w:rPr>
          <w:rFonts w:ascii="Times New Roman" w:hAnsi="Times New Roman" w:cs="Times New Roman"/>
          <w:sz w:val="22"/>
          <w:szCs w:val="22"/>
        </w:rPr>
      </w:pPr>
      <w:r w:rsidRPr="00D520FC">
        <w:rPr>
          <w:rFonts w:ascii="Times New Roman" w:hAnsi="Times New Roman" w:cs="Times New Roman"/>
          <w:b/>
          <w:sz w:val="22"/>
          <w:szCs w:val="22"/>
        </w:rPr>
        <w:t xml:space="preserve">Where backwater effects occur </w:t>
      </w:r>
      <w:r w:rsidRPr="00D520FC">
        <w:rPr>
          <w:rFonts w:ascii="Times New Roman" w:hAnsi="Times New Roman" w:cs="Times New Roman"/>
          <w:sz w:val="22"/>
          <w:szCs w:val="22"/>
        </w:rPr>
        <w:t xml:space="preserve">(due to valley constrictions or other geomorphic controls), </w:t>
      </w:r>
      <w:r w:rsidR="00125863" w:rsidRPr="00D520FC">
        <w:rPr>
          <w:rFonts w:ascii="Times New Roman" w:hAnsi="Times New Roman" w:cs="Times New Roman"/>
          <w:b/>
          <w:sz w:val="22"/>
          <w:szCs w:val="22"/>
        </w:rPr>
        <w:t xml:space="preserve">the impact of </w:t>
      </w:r>
      <w:r w:rsidR="00637711" w:rsidRPr="00D520FC">
        <w:rPr>
          <w:rFonts w:ascii="Times New Roman" w:hAnsi="Times New Roman" w:cs="Times New Roman"/>
          <w:b/>
          <w:sz w:val="22"/>
          <w:szCs w:val="22"/>
        </w:rPr>
        <w:t>channel</w:t>
      </w:r>
      <w:r w:rsidR="00125863" w:rsidRPr="00D520FC">
        <w:rPr>
          <w:rFonts w:ascii="Times New Roman" w:hAnsi="Times New Roman" w:cs="Times New Roman"/>
          <w:b/>
          <w:sz w:val="22"/>
          <w:szCs w:val="22"/>
        </w:rPr>
        <w:t xml:space="preserve"> enlargement on flood peaks</w:t>
      </w:r>
      <w:r w:rsidR="00B36D90" w:rsidRPr="00D520FC">
        <w:rPr>
          <w:rFonts w:ascii="Times New Roman" w:hAnsi="Times New Roman" w:cs="Times New Roman"/>
          <w:b/>
          <w:sz w:val="22"/>
          <w:szCs w:val="22"/>
        </w:rPr>
        <w:t xml:space="preserve"> is</w:t>
      </w:r>
      <w:r w:rsidR="00125863" w:rsidRPr="00D520FC">
        <w:rPr>
          <w:rFonts w:ascii="Times New Roman" w:hAnsi="Times New Roman" w:cs="Times New Roman"/>
          <w:b/>
          <w:sz w:val="22"/>
          <w:szCs w:val="22"/>
        </w:rPr>
        <w:t xml:space="preserve"> much less pronounced,</w:t>
      </w:r>
      <w:r w:rsidR="00125863" w:rsidRPr="00D520FC">
        <w:rPr>
          <w:rFonts w:ascii="Times New Roman" w:hAnsi="Times New Roman" w:cs="Times New Roman"/>
          <w:sz w:val="22"/>
          <w:szCs w:val="22"/>
        </w:rPr>
        <w:t xml:space="preserve"> as was observed in the Oxley Creek case study. </w:t>
      </w:r>
    </w:p>
    <w:p w14:paraId="57C51901" w14:textId="2757C101" w:rsidR="00DF1536" w:rsidRPr="0036789A" w:rsidRDefault="00531FA5" w:rsidP="002B1DA4">
      <w:pPr>
        <w:pStyle w:val="Heading1"/>
        <w:spacing w:before="120" w:after="0"/>
        <w:rPr>
          <w:rFonts w:cs="Times New Roman"/>
          <w:szCs w:val="22"/>
        </w:rPr>
      </w:pPr>
      <w:r w:rsidRPr="0036789A">
        <w:t xml:space="preserve">Opportunities to apply geomorphic insights </w:t>
      </w:r>
      <w:r w:rsidR="00C57AA9" w:rsidRPr="0036789A">
        <w:t xml:space="preserve">to </w:t>
      </w:r>
      <w:r w:rsidR="00AD54E0" w:rsidRPr="0036789A">
        <w:t>enhance NFM outcomes in practice</w:t>
      </w:r>
    </w:p>
    <w:p w14:paraId="38FC59E8" w14:textId="0A223F73" w:rsidR="00FD7F91" w:rsidRDefault="002A4BB0" w:rsidP="00252740">
      <w:pPr>
        <w:pStyle w:val="Heading2"/>
      </w:pPr>
      <w:r>
        <w:t xml:space="preserve">Manage threats contributing to </w:t>
      </w:r>
      <w:r w:rsidR="00DF6779">
        <w:t xml:space="preserve">ongoing </w:t>
      </w:r>
      <w:r w:rsidR="00574587">
        <w:t>channel degradation</w:t>
      </w:r>
    </w:p>
    <w:p w14:paraId="6670262C" w14:textId="0866AE92" w:rsidR="00591B30" w:rsidRDefault="00AD54E0" w:rsidP="00591B30">
      <w:r>
        <w:t xml:space="preserve">Effective </w:t>
      </w:r>
      <w:r w:rsidRPr="00D95096">
        <w:t xml:space="preserve">NFM in </w:t>
      </w:r>
      <w:r>
        <w:t>eastern Australian catchments</w:t>
      </w:r>
      <w:r w:rsidRPr="00D95096">
        <w:t xml:space="preserve"> requires </w:t>
      </w:r>
      <w:r w:rsidR="008974A4">
        <w:t>addressing</w:t>
      </w:r>
      <w:r w:rsidRPr="00D95096">
        <w:t xml:space="preserve"> channel degradation</w:t>
      </w:r>
      <w:r w:rsidR="00BC3D71">
        <w:t xml:space="preserve"> processes that lead </w:t>
      </w:r>
      <w:r w:rsidR="00306280">
        <w:t>to channel enlargement.</w:t>
      </w:r>
      <w:r>
        <w:t xml:space="preserve"> </w:t>
      </w:r>
      <w:r w:rsidR="00591B30" w:rsidRPr="00CC4795">
        <w:t xml:space="preserve">Channel </w:t>
      </w:r>
      <w:r w:rsidR="00591B30">
        <w:t>enlargement</w:t>
      </w:r>
      <w:r w:rsidR="00591B30" w:rsidRPr="00CC4795">
        <w:t xml:space="preserve"> is </w:t>
      </w:r>
      <w:r w:rsidR="00591B30">
        <w:t>often</w:t>
      </w:r>
      <w:r w:rsidR="00591B30" w:rsidRPr="00CC4795">
        <w:t xml:space="preserve"> initiated by some form of disturbance</w:t>
      </w:r>
      <w:r w:rsidR="00D50C66">
        <w:t xml:space="preserve"> e.g. </w:t>
      </w:r>
      <w:r w:rsidR="00591B30" w:rsidRPr="00CC4795">
        <w:t xml:space="preserve">riparian vegetation removal, </w:t>
      </w:r>
      <w:r w:rsidR="00591B30">
        <w:t xml:space="preserve">unrestricted livestock access, </w:t>
      </w:r>
      <w:r w:rsidR="00591B30" w:rsidRPr="00CC4795">
        <w:t>chute cutoff, gravel/sand extraction</w:t>
      </w:r>
      <w:r w:rsidR="00591B30">
        <w:t xml:space="preserve"> etc. The disturbance can trigger</w:t>
      </w:r>
      <w:r w:rsidR="00591B30" w:rsidRPr="00CC4795">
        <w:t xml:space="preserve"> </w:t>
      </w:r>
      <w:proofErr w:type="spellStart"/>
      <w:r w:rsidR="00591B30" w:rsidRPr="00CC4795">
        <w:t>localised</w:t>
      </w:r>
      <w:proofErr w:type="spellEnd"/>
      <w:r w:rsidR="00591B30" w:rsidRPr="00CC4795">
        <w:t xml:space="preserve"> streambed lowering, creating a sharp change in bed elevation known as a knickpoint. This forms an over-steepened section of channel that is no longer in equilibrium with upstream and downstream reaches. Flow energy becomes concentrated at this point, increasing shear stress on the bed and banks and driving active erosion. As a result, the knickpoint migrates upstream through headward erosion, progressively propagating </w:t>
      </w:r>
      <w:r w:rsidR="00591B30">
        <w:t xml:space="preserve">a </w:t>
      </w:r>
      <w:r w:rsidR="00591B30" w:rsidRPr="00CC4795">
        <w:t xml:space="preserve">deepening and widening </w:t>
      </w:r>
      <w:r w:rsidR="00591B30">
        <w:t xml:space="preserve">process </w:t>
      </w:r>
      <w:r w:rsidR="00591B30" w:rsidRPr="00CC4795">
        <w:t>through the channel network</w:t>
      </w:r>
      <w:r w:rsidR="00591B30">
        <w:t>.</w:t>
      </w:r>
    </w:p>
    <w:p w14:paraId="77755BD8" w14:textId="472E7233" w:rsidR="00591B30" w:rsidRDefault="00A974F3" w:rsidP="00591B30">
      <w:r>
        <w:t xml:space="preserve">Arresting long-term channel degradation therefore involves a) managing threats that could initiate channel disturbance; and b) addressing geomorphic processes contributing to ongoing channel enlargement. </w:t>
      </w:r>
      <w:r w:rsidR="00591B30">
        <w:t xml:space="preserve">Examples of management interventions include </w:t>
      </w:r>
      <w:r>
        <w:t xml:space="preserve">a) </w:t>
      </w:r>
      <w:r w:rsidRPr="00390BEC">
        <w:t>restricting livestock access, particularly in areas that are highly sensitive to disturbance, such as valley fill/swampy meadows</w:t>
      </w:r>
      <w:r>
        <w:t xml:space="preserve">, and b) </w:t>
      </w:r>
      <w:r w:rsidR="00591B30">
        <w:t>stabilising the stream bed where there is an actively migrating</w:t>
      </w:r>
      <w:r w:rsidR="00591B30" w:rsidRPr="00390BEC">
        <w:t xml:space="preserve"> knickpoin</w:t>
      </w:r>
      <w:r>
        <w:t xml:space="preserve">t. </w:t>
      </w:r>
    </w:p>
    <w:p w14:paraId="5785992A" w14:textId="788F4B56" w:rsidR="00544D51" w:rsidRDefault="00AB6372" w:rsidP="00B12D5F">
      <w:pPr>
        <w:spacing w:after="0"/>
      </w:pPr>
      <w:r>
        <w:t xml:space="preserve">As we witness widespread catchment degradation, </w:t>
      </w:r>
      <w:r w:rsidR="008B7F4E" w:rsidRPr="008718A5">
        <w:rPr>
          <w:bCs/>
        </w:rPr>
        <w:t>protecting</w:t>
      </w:r>
      <w:r w:rsidR="00522E53">
        <w:rPr>
          <w:bCs/>
        </w:rPr>
        <w:t xml:space="preserve"> any</w:t>
      </w:r>
      <w:r w:rsidR="008B7F4E" w:rsidRPr="008718A5">
        <w:rPr>
          <w:bCs/>
        </w:rPr>
        <w:t xml:space="preserve"> remaining </w:t>
      </w:r>
      <w:r w:rsidR="008B7F4E">
        <w:rPr>
          <w:bCs/>
        </w:rPr>
        <w:t>‘intact’</w:t>
      </w:r>
      <w:r w:rsidR="008B7F4E" w:rsidRPr="008718A5">
        <w:rPr>
          <w:bCs/>
        </w:rPr>
        <w:t xml:space="preserve"> water</w:t>
      </w:r>
      <w:r w:rsidR="00093681">
        <w:rPr>
          <w:bCs/>
        </w:rPr>
        <w:t>courses</w:t>
      </w:r>
      <w:r w:rsidR="008B7F4E" w:rsidRPr="008718A5">
        <w:rPr>
          <w:bCs/>
        </w:rPr>
        <w:t xml:space="preserve"> is increasingly critical.</w:t>
      </w:r>
      <w:r w:rsidR="00544D51">
        <w:rPr>
          <w:bCs/>
        </w:rPr>
        <w:t xml:space="preserve"> </w:t>
      </w:r>
      <w:r w:rsidR="00544D51">
        <w:t>In the context of NFM, th</w:t>
      </w:r>
      <w:r w:rsidR="0052202B">
        <w:t>is</w:t>
      </w:r>
      <w:r w:rsidR="00544D51">
        <w:t xml:space="preserve"> means </w:t>
      </w:r>
      <w:r w:rsidR="0052202B">
        <w:t>prioritising the protection of</w:t>
      </w:r>
      <w:r w:rsidR="00591B30">
        <w:t xml:space="preserve"> areas</w:t>
      </w:r>
      <w:r w:rsidR="00544D51">
        <w:t xml:space="preserve"> </w:t>
      </w:r>
      <w:r w:rsidR="00966317">
        <w:t xml:space="preserve">currently </w:t>
      </w:r>
      <w:r w:rsidR="00544D51">
        <w:t xml:space="preserve">functioning optimally in terms of their flow retention capacity; areas of intact valley fill and chain-of-ponds systems, </w:t>
      </w:r>
      <w:r w:rsidR="001D3784">
        <w:t xml:space="preserve">and </w:t>
      </w:r>
      <w:r w:rsidR="00544D51">
        <w:t xml:space="preserve">alluvial river reaches in good geomorphic condition (not yet incised or overwidened) with good channel-floodplain connectivity. These </w:t>
      </w:r>
      <w:r w:rsidR="009117A9">
        <w:t xml:space="preserve">‘intact’ </w:t>
      </w:r>
      <w:r w:rsidR="00544D51">
        <w:t xml:space="preserve">systems already provide flood </w:t>
      </w:r>
      <w:r w:rsidR="00966317">
        <w:t xml:space="preserve">attenuation </w:t>
      </w:r>
      <w:r w:rsidR="00544D51">
        <w:t>benefits</w:t>
      </w:r>
      <w:r w:rsidR="00647380">
        <w:t>, therefore</w:t>
      </w:r>
      <w:r w:rsidR="00EE7D3B">
        <w:t xml:space="preserve"> the most </w:t>
      </w:r>
      <w:r w:rsidR="009117A9">
        <w:t xml:space="preserve">resource-efficient and </w:t>
      </w:r>
      <w:r w:rsidR="00EE7D3B">
        <w:t xml:space="preserve">cost-effective approach to </w:t>
      </w:r>
      <w:r w:rsidR="009117A9">
        <w:t xml:space="preserve">applying </w:t>
      </w:r>
      <w:r w:rsidR="00EE7D3B">
        <w:t>NFM</w:t>
      </w:r>
      <w:r w:rsidR="009117A9">
        <w:t xml:space="preserve"> at scale</w:t>
      </w:r>
      <w:r w:rsidR="00EE7D3B">
        <w:t xml:space="preserve"> is to protect these </w:t>
      </w:r>
      <w:r w:rsidR="00141BA3">
        <w:t xml:space="preserve">systems </w:t>
      </w:r>
      <w:r w:rsidR="00647380">
        <w:t>by identifying and actively managing threats</w:t>
      </w:r>
      <w:r w:rsidR="00FA757A">
        <w:t>.</w:t>
      </w:r>
    </w:p>
    <w:p w14:paraId="7864871C" w14:textId="19C64AAB" w:rsidR="00260120" w:rsidRPr="004B5087" w:rsidRDefault="0066546B" w:rsidP="00252740">
      <w:pPr>
        <w:pStyle w:val="Heading2"/>
        <w:rPr>
          <w:rFonts w:cs="Times New Roman"/>
          <w:szCs w:val="24"/>
        </w:rPr>
      </w:pPr>
      <w:r>
        <w:t>Implement large-scale riparian rehabilitation</w:t>
      </w:r>
    </w:p>
    <w:p w14:paraId="0C60158A" w14:textId="7D3637A1" w:rsidR="00A7346A" w:rsidRPr="00FE2194" w:rsidRDefault="00B741E4" w:rsidP="00FF34C9">
      <w:r w:rsidRPr="00FE2194">
        <w:rPr>
          <w:rStyle w:val="cf01"/>
          <w:rFonts w:ascii="Times New Roman" w:hAnsi="Times New Roman" w:cs="Times New Roman"/>
          <w:color w:val="auto"/>
          <w:sz w:val="22"/>
          <w:szCs w:val="22"/>
        </w:rPr>
        <w:t xml:space="preserve">To date, there has been a strong focus on the role of riparian revegetation in NFM with respect to slowing flow conveyance </w:t>
      </w:r>
      <w:r w:rsidR="000F1878">
        <w:rPr>
          <w:rStyle w:val="cf01"/>
          <w:rFonts w:ascii="Times New Roman" w:hAnsi="Times New Roman" w:cs="Times New Roman"/>
          <w:color w:val="auto"/>
          <w:sz w:val="22"/>
          <w:szCs w:val="22"/>
        </w:rPr>
        <w:t>by</w:t>
      </w:r>
      <w:r w:rsidRPr="00FE2194">
        <w:rPr>
          <w:rStyle w:val="cf01"/>
          <w:rFonts w:ascii="Times New Roman" w:hAnsi="Times New Roman" w:cs="Times New Roman"/>
          <w:color w:val="auto"/>
          <w:sz w:val="22"/>
          <w:szCs w:val="22"/>
        </w:rPr>
        <w:t xml:space="preserve"> providing hydraulic roughness</w:t>
      </w:r>
      <w:r w:rsidR="005D6CB8" w:rsidRPr="00FE2194">
        <w:rPr>
          <w:rStyle w:val="cf01"/>
          <w:rFonts w:ascii="Times New Roman" w:hAnsi="Times New Roman" w:cs="Times New Roman"/>
          <w:color w:val="auto"/>
          <w:sz w:val="22"/>
          <w:szCs w:val="22"/>
        </w:rPr>
        <w:t xml:space="preserve">, </w:t>
      </w:r>
      <w:r w:rsidR="002F0F91">
        <w:rPr>
          <w:rStyle w:val="cf01"/>
          <w:rFonts w:ascii="Times New Roman" w:hAnsi="Times New Roman" w:cs="Times New Roman"/>
          <w:color w:val="auto"/>
          <w:sz w:val="22"/>
          <w:szCs w:val="22"/>
        </w:rPr>
        <w:t>h</w:t>
      </w:r>
      <w:r w:rsidR="00420220" w:rsidRPr="00FE2194">
        <w:rPr>
          <w:rStyle w:val="cf01"/>
          <w:rFonts w:ascii="Times New Roman" w:hAnsi="Times New Roman" w:cs="Times New Roman"/>
          <w:color w:val="auto"/>
          <w:sz w:val="22"/>
          <w:szCs w:val="22"/>
        </w:rPr>
        <w:t>owever, t</w:t>
      </w:r>
      <w:r w:rsidRPr="00FE2194">
        <w:rPr>
          <w:rStyle w:val="cf01"/>
          <w:rFonts w:ascii="Times New Roman" w:hAnsi="Times New Roman" w:cs="Times New Roman"/>
          <w:color w:val="auto"/>
          <w:sz w:val="22"/>
          <w:szCs w:val="22"/>
        </w:rPr>
        <w:t>he role of vegetation in limiting erosional channel change</w:t>
      </w:r>
      <w:r w:rsidR="00C34464">
        <w:rPr>
          <w:rStyle w:val="cf01"/>
          <w:rFonts w:ascii="Times New Roman" w:hAnsi="Times New Roman" w:cs="Times New Roman"/>
          <w:color w:val="auto"/>
          <w:sz w:val="22"/>
          <w:szCs w:val="22"/>
        </w:rPr>
        <w:t xml:space="preserve"> and encouraging geomorphic recovery </w:t>
      </w:r>
      <w:r w:rsidR="002F0F91">
        <w:rPr>
          <w:rStyle w:val="cf01"/>
          <w:rFonts w:ascii="Times New Roman" w:hAnsi="Times New Roman" w:cs="Times New Roman"/>
          <w:color w:val="auto"/>
          <w:sz w:val="22"/>
          <w:szCs w:val="22"/>
        </w:rPr>
        <w:t xml:space="preserve">(Arash et al., 2023) </w:t>
      </w:r>
      <w:r w:rsidR="00C34464">
        <w:rPr>
          <w:rStyle w:val="cf01"/>
          <w:rFonts w:ascii="Times New Roman" w:hAnsi="Times New Roman" w:cs="Times New Roman"/>
          <w:color w:val="auto"/>
          <w:sz w:val="22"/>
          <w:szCs w:val="22"/>
        </w:rPr>
        <w:t xml:space="preserve">must be </w:t>
      </w:r>
      <w:r w:rsidR="000F1878">
        <w:rPr>
          <w:rStyle w:val="cf01"/>
          <w:rFonts w:ascii="Times New Roman" w:hAnsi="Times New Roman" w:cs="Times New Roman"/>
          <w:color w:val="auto"/>
          <w:sz w:val="22"/>
          <w:szCs w:val="22"/>
        </w:rPr>
        <w:t>emphasized</w:t>
      </w:r>
      <w:r w:rsidR="001F64A5">
        <w:rPr>
          <w:rStyle w:val="cf01"/>
          <w:rFonts w:ascii="Times New Roman" w:hAnsi="Times New Roman" w:cs="Times New Roman"/>
          <w:color w:val="auto"/>
          <w:sz w:val="22"/>
          <w:szCs w:val="22"/>
        </w:rPr>
        <w:t xml:space="preserve">. </w:t>
      </w:r>
      <w:r w:rsidR="000F1878">
        <w:rPr>
          <w:rStyle w:val="cf01"/>
          <w:rFonts w:ascii="Times New Roman" w:hAnsi="Times New Roman" w:cs="Times New Roman"/>
          <w:color w:val="auto"/>
          <w:sz w:val="22"/>
          <w:szCs w:val="22"/>
        </w:rPr>
        <w:t xml:space="preserve"> </w:t>
      </w:r>
      <w:r w:rsidR="00420220" w:rsidRPr="00FE2194">
        <w:rPr>
          <w:rStyle w:val="cf01"/>
          <w:rFonts w:ascii="Times New Roman" w:hAnsi="Times New Roman" w:cs="Times New Roman"/>
          <w:color w:val="auto"/>
          <w:sz w:val="22"/>
          <w:szCs w:val="22"/>
        </w:rPr>
        <w:t xml:space="preserve"> </w:t>
      </w:r>
    </w:p>
    <w:p w14:paraId="0F17A99E" w14:textId="752F128E" w:rsidR="008400BD" w:rsidRDefault="00260120" w:rsidP="008400BD">
      <w:r w:rsidRPr="00D95096">
        <w:t>Our observations and research show that, in comparable streams exposed to large flood events, those cleared of native vegetation undergo significantly greater channel enlargement than those that have been revegetated over time (Alluvium, 2011</w:t>
      </w:r>
      <w:r w:rsidR="009C7239" w:rsidRPr="0079338F">
        <w:t xml:space="preserve">; </w:t>
      </w:r>
      <w:r w:rsidR="0079338F" w:rsidRPr="0079338F">
        <w:t>Brooks et al.</w:t>
      </w:r>
      <w:r w:rsidR="0079338F">
        <w:t>,</w:t>
      </w:r>
      <w:r w:rsidR="0079338F" w:rsidRPr="0079338F">
        <w:t xml:space="preserve"> 2025</w:t>
      </w:r>
      <w:r w:rsidRPr="0079338F">
        <w:t xml:space="preserve">). </w:t>
      </w:r>
      <w:r w:rsidRPr="00D95096">
        <w:t>High-quality, structurally diverse native riparian vegetation—established through targeted revegetation programs—can play a critical role in reducing the occurrence, extent, and severity of flood-induced channel enlargement.</w:t>
      </w:r>
      <w:r>
        <w:t xml:space="preserve"> Therefore</w:t>
      </w:r>
      <w:r w:rsidR="008400BD" w:rsidRPr="00D95096">
        <w:t xml:space="preserve">, one of the most effective NFM </w:t>
      </w:r>
      <w:r w:rsidR="00D96ED1">
        <w:t xml:space="preserve">approaches </w:t>
      </w:r>
      <w:r w:rsidR="008400BD" w:rsidRPr="00D95096">
        <w:t xml:space="preserve">is riparian rehabilitation—not simply to increase hydraulic roughness, but to slow, halt, or reverse the trajectory of channel enlargement. </w:t>
      </w:r>
    </w:p>
    <w:p w14:paraId="2DD7A823" w14:textId="7154FDC0" w:rsidR="00543DE2" w:rsidRPr="00D96ED1" w:rsidRDefault="00A759FE" w:rsidP="002B1DA4">
      <w:pPr>
        <w:spacing w:after="120"/>
        <w:rPr>
          <w:color w:val="C00000"/>
        </w:rPr>
      </w:pPr>
      <w:r w:rsidRPr="00537F39">
        <w:t xml:space="preserve">A study by Agnew and </w:t>
      </w:r>
      <w:proofErr w:type="spellStart"/>
      <w:r w:rsidRPr="00537F39">
        <w:t>Fryirs</w:t>
      </w:r>
      <w:proofErr w:type="spellEnd"/>
      <w:r w:rsidRPr="00537F39">
        <w:t xml:space="preserve"> (2022) presents a ‘prioritisation protocol’ that advocates moving away from ad hoc and reactive river rehabilitation and flood recovery programs in </w:t>
      </w:r>
      <w:proofErr w:type="spellStart"/>
      <w:r w:rsidRPr="00537F39">
        <w:t>favour</w:t>
      </w:r>
      <w:proofErr w:type="spellEnd"/>
      <w:r w:rsidRPr="00537F39">
        <w:t xml:space="preserve"> of adopting a more cost-effective approach that focuses on enhancing natural recovery processes of river systems by prioritising </w:t>
      </w:r>
      <w:r w:rsidR="00AD54E0">
        <w:t>rehabilitation</w:t>
      </w:r>
      <w:r w:rsidRPr="00537F39">
        <w:t xml:space="preserve"> of </w:t>
      </w:r>
      <w:r w:rsidRPr="00537F39">
        <w:lastRenderedPageBreak/>
        <w:t xml:space="preserve">reaches with ‘high recovery potential’ </w:t>
      </w:r>
      <w:r w:rsidR="008C3A0F">
        <w:t>adjacent to ‘intact’ reaches, thereby expanding and strengthening the intact reaches</w:t>
      </w:r>
      <w:r w:rsidR="009A445C">
        <w:t xml:space="preserve"> to create continuous corridors of structurally diverse native riparian vegetation.</w:t>
      </w:r>
    </w:p>
    <w:p w14:paraId="08576D2F" w14:textId="4B482C4F" w:rsidR="000B7003" w:rsidRDefault="000F04BA" w:rsidP="00FD7817">
      <w:pPr>
        <w:pStyle w:val="Heading2"/>
      </w:pPr>
      <w:r>
        <w:t>P</w:t>
      </w:r>
      <w:r w:rsidR="00A60B15">
        <w:t>rio</w:t>
      </w:r>
      <w:r w:rsidR="0041638E">
        <w:t>ri</w:t>
      </w:r>
      <w:r w:rsidR="00A60B15">
        <w:t xml:space="preserve">tise </w:t>
      </w:r>
      <w:r w:rsidR="0041638E">
        <w:t>the placement</w:t>
      </w:r>
      <w:r w:rsidR="00A60B15">
        <w:t xml:space="preserve"> of NFM where </w:t>
      </w:r>
      <w:r w:rsidR="0041638E">
        <w:t>hydraulic outcomes are likely to be most influential</w:t>
      </w:r>
    </w:p>
    <w:p w14:paraId="7A6F7879" w14:textId="4E662CA2" w:rsidR="00D12D1D" w:rsidRDefault="007A5198" w:rsidP="00D12D1D">
      <w:r w:rsidRPr="00CA0E64">
        <w:t xml:space="preserve">The extent to which </w:t>
      </w:r>
      <w:r>
        <w:t xml:space="preserve">channel enlargement </w:t>
      </w:r>
      <w:r w:rsidRPr="00D95096">
        <w:t>influence</w:t>
      </w:r>
      <w:r w:rsidR="0086306F">
        <w:t>s</w:t>
      </w:r>
      <w:r w:rsidRPr="00D95096">
        <w:t xml:space="preserve"> flow conveyance </w:t>
      </w:r>
      <w:r w:rsidR="00CE1DC6">
        <w:t xml:space="preserve">can be influenced by </w:t>
      </w:r>
      <w:r w:rsidR="00F86823">
        <w:t xml:space="preserve">geomorphic setting; it is </w:t>
      </w:r>
      <w:r w:rsidR="007F5B10">
        <w:t>important to identify where backwater zones readily develop</w:t>
      </w:r>
      <w:r w:rsidR="005D0104">
        <w:t xml:space="preserve">, as the effect of channel enlargement in these locations </w:t>
      </w:r>
      <w:r w:rsidR="00EB1B5F">
        <w:t>becomes</w:t>
      </w:r>
      <w:r w:rsidR="005D0104">
        <w:t xml:space="preserve"> less pronounced</w:t>
      </w:r>
      <w:r w:rsidR="00EB1B5F">
        <w:t xml:space="preserve"> in large flood events</w:t>
      </w:r>
      <w:r w:rsidR="005D0104">
        <w:t>.</w:t>
      </w:r>
      <w:r w:rsidRPr="00697776">
        <w:t xml:space="preserve"> </w:t>
      </w:r>
    </w:p>
    <w:p w14:paraId="1360C75C" w14:textId="14943126" w:rsidR="005030A5" w:rsidRDefault="005030A5" w:rsidP="00D12D1D">
      <w:r w:rsidRPr="005030A5">
        <w:t>A ‘backwater effect’ occurs when a downstream channel control such as a valley constriction causes flood flows to ‘back up’ (water levels rise and flow velocities reduce) upstream of that constriction. Often, a certain flow stage (or ‘threshold’) is required before a constriction creates a backwater zone</w:t>
      </w:r>
      <w:r w:rsidR="00170DAA">
        <w:t xml:space="preserve"> (</w:t>
      </w:r>
      <w:r w:rsidR="00170DAA">
        <w:fldChar w:fldCharType="begin"/>
      </w:r>
      <w:r w:rsidR="00170DAA">
        <w:instrText xml:space="preserve"> REF _Ref196469831 \h </w:instrText>
      </w:r>
      <w:r w:rsidR="00170DAA">
        <w:fldChar w:fldCharType="separate"/>
      </w:r>
      <w:r w:rsidR="00170DAA" w:rsidRPr="00D95096">
        <w:t xml:space="preserve">Figure </w:t>
      </w:r>
      <w:r w:rsidR="00170DAA">
        <w:rPr>
          <w:noProof/>
        </w:rPr>
        <w:t>2</w:t>
      </w:r>
      <w:r w:rsidR="00170DAA">
        <w:fldChar w:fldCharType="end"/>
      </w:r>
      <w:r w:rsidR="00170DAA">
        <w:t>)</w:t>
      </w:r>
      <w:r w:rsidRPr="005030A5">
        <w:t>. Channel enlargement tends to have a less pronounced effect on flood flow conveyance in backwater-controlled areas because flood behaviour in these areas is controlled less by the local channel capacity and more by the downstream hydraulic controls.</w:t>
      </w:r>
      <w:r w:rsidR="00D431A5">
        <w:t xml:space="preserve"> </w:t>
      </w:r>
      <w:r w:rsidR="004310EC">
        <w:t>E</w:t>
      </w:r>
      <w:r>
        <w:t xml:space="preserve">xamples of </w:t>
      </w:r>
      <w:r w:rsidR="00D431A5">
        <w:t>hydraulic</w:t>
      </w:r>
      <w:r>
        <w:t xml:space="preserve"> </w:t>
      </w:r>
      <w:proofErr w:type="gramStart"/>
      <w:r>
        <w:t>controls</w:t>
      </w:r>
      <w:proofErr w:type="gramEnd"/>
      <w:r>
        <w:t xml:space="preserve"> include </w:t>
      </w:r>
      <w:r w:rsidR="004310EC" w:rsidRPr="00D95096">
        <w:t>bridges, weirs, dams and valley constrictions</w:t>
      </w:r>
      <w:r w:rsidR="004310EC">
        <w:t>.</w:t>
      </w:r>
    </w:p>
    <w:p w14:paraId="5B11EE47" w14:textId="7126F1FA" w:rsidR="007A5198" w:rsidRPr="00AD54E0" w:rsidRDefault="00AD54E0" w:rsidP="004310EC">
      <w:r>
        <w:t>The same principles could apply to the relative effect of in-channel and floodplain hydraulic roughness; where backwater effects occur, the effect of hydraulic roughness in slowing flow velocities is likely to be less pronounced.</w:t>
      </w:r>
    </w:p>
    <w:p w14:paraId="3F539CB8" w14:textId="1005AB2F" w:rsidR="007A5198" w:rsidRPr="007A5198" w:rsidRDefault="007A5198" w:rsidP="00B12D5F">
      <w:pPr>
        <w:spacing w:after="120"/>
      </w:pPr>
      <w:r w:rsidRPr="00CA0E64">
        <w:t>Understanding the</w:t>
      </w:r>
      <w:r>
        <w:t xml:space="preserve"> influence of </w:t>
      </w:r>
      <w:r w:rsidR="00F8464C">
        <w:t>hydraulic controls</w:t>
      </w:r>
      <w:r>
        <w:t xml:space="preserve"> can </w:t>
      </w:r>
      <w:r w:rsidRPr="00CA0E64">
        <w:t>help target reaches where NFM interventions will have the most impact</w:t>
      </w:r>
      <w:r w:rsidR="00AD54E0">
        <w:t xml:space="preserve">, rather </w:t>
      </w:r>
      <w:r w:rsidR="00D40F8F">
        <w:t>than in</w:t>
      </w:r>
      <w:r w:rsidR="00AD54E0">
        <w:t xml:space="preserve"> locations</w:t>
      </w:r>
      <w:r w:rsidRPr="00CA0E64">
        <w:t xml:space="preserve"> where hydraulic outcomes</w:t>
      </w:r>
      <w:r w:rsidR="00AD54E0">
        <w:t xml:space="preserve"> are likely to lessen with increasing flood magnitude</w:t>
      </w:r>
      <w:r>
        <w:t xml:space="preserve">. </w:t>
      </w:r>
    </w:p>
    <w:p w14:paraId="564BE1CD" w14:textId="209ECB4E" w:rsidR="00DD3073" w:rsidRDefault="000F04BA" w:rsidP="000F04BA">
      <w:pPr>
        <w:pStyle w:val="Heading1"/>
      </w:pPr>
      <w:r>
        <w:t>Challenges</w:t>
      </w:r>
    </w:p>
    <w:p w14:paraId="057285A7" w14:textId="4BF1EF3F" w:rsidR="00DD3073" w:rsidRDefault="00DD3073" w:rsidP="00B12D5F">
      <w:pPr>
        <w:pStyle w:val="Heading2"/>
        <w:spacing w:before="120"/>
      </w:pPr>
      <w:r>
        <w:t>Implementation challenges</w:t>
      </w:r>
    </w:p>
    <w:p w14:paraId="0505B4F7" w14:textId="29E7CDD2" w:rsidR="0007214F" w:rsidRPr="00AF240E" w:rsidRDefault="248189C6" w:rsidP="0007214F">
      <w:r>
        <w:t xml:space="preserve">Large-scale riparian rehabilitation </w:t>
      </w:r>
      <w:r w:rsidR="5CB4BB33">
        <w:t>is essential to slow</w:t>
      </w:r>
      <w:r w:rsidR="397DB4B0">
        <w:t>ing</w:t>
      </w:r>
      <w:r w:rsidR="5CB4BB33">
        <w:t xml:space="preserve">, </w:t>
      </w:r>
      <w:proofErr w:type="spellStart"/>
      <w:proofErr w:type="gramStart"/>
      <w:r w:rsidR="5CB4BB33">
        <w:t>halt</w:t>
      </w:r>
      <w:r w:rsidR="397DB4B0">
        <w:t>ing</w:t>
      </w:r>
      <w:r w:rsidR="5CB4BB33">
        <w:t>,</w:t>
      </w:r>
      <w:r w:rsidR="397DB4B0">
        <w:t>and</w:t>
      </w:r>
      <w:proofErr w:type="spellEnd"/>
      <w:proofErr w:type="gramEnd"/>
      <w:r w:rsidR="397DB4B0">
        <w:t xml:space="preserve"> reversing</w:t>
      </w:r>
      <w:r w:rsidR="5CB4BB33">
        <w:t xml:space="preserve"> the trajectory of channel enlargement. </w:t>
      </w:r>
      <w:r w:rsidR="16F5E0D7">
        <w:t>However,</w:t>
      </w:r>
      <w:r w:rsidR="397DB4B0">
        <w:t xml:space="preserve"> </w:t>
      </w:r>
      <w:r>
        <w:t xml:space="preserve">the success of riparian rehabilitation projects </w:t>
      </w:r>
      <w:r w:rsidR="16F5E0D7">
        <w:t>most often</w:t>
      </w:r>
      <w:r>
        <w:t xml:space="preserve"> depends on landholder goodwill, including </w:t>
      </w:r>
      <w:r w:rsidR="455A45E6">
        <w:t>setting aside productive land for ecological functions</w:t>
      </w:r>
      <w:r w:rsidR="6DA6B046">
        <w:t xml:space="preserve"> and </w:t>
      </w:r>
      <w:r>
        <w:t>agree</w:t>
      </w:r>
      <w:r w:rsidR="455A45E6">
        <w:t>ing</w:t>
      </w:r>
      <w:r>
        <w:t xml:space="preserve"> to change land management practices</w:t>
      </w:r>
      <w:r w:rsidR="6DA6B046">
        <w:t xml:space="preserve">. </w:t>
      </w:r>
      <w:r>
        <w:t xml:space="preserve">As </w:t>
      </w:r>
      <w:r w:rsidR="6DA6B046">
        <w:t>such</w:t>
      </w:r>
      <w:r>
        <w:t xml:space="preserve">, many projects are implemented on a small scale, with narrow riparian buffer widths. </w:t>
      </w:r>
      <w:r w:rsidR="6DA6B046">
        <w:t>N</w:t>
      </w:r>
      <w:r>
        <w:t>arrow buffers are difficult to maintain, prone to edge effects, and can suffer from high predation and competition pressures, which reduce the success of vegetation establishment—especially for sensitive native species.</w:t>
      </w:r>
    </w:p>
    <w:p w14:paraId="46FC1E5A" w14:textId="57A49D36" w:rsidR="0007214F" w:rsidRPr="00AF240E" w:rsidRDefault="0007214F" w:rsidP="0007214F">
      <w:r w:rsidRPr="00AF240E">
        <w:t xml:space="preserve">From both an ecological and hydraulic perspective, wider, continuous riparian corridors of high-quality, structurally diverse native vegetation are needed to meaningfully reduce erosion and </w:t>
      </w:r>
      <w:r w:rsidR="00D92BD1">
        <w:t xml:space="preserve">ultimately </w:t>
      </w:r>
      <w:r w:rsidRPr="00AF240E">
        <w:t>slow flood conveyance. However, the current fragmented and voluntary model of riparian management has largely failed to achieve these outcomes at the reach or catchment scale across eastern Australia.</w:t>
      </w:r>
    </w:p>
    <w:p w14:paraId="51254C7E" w14:textId="283952E9" w:rsidR="0007214F" w:rsidRPr="00AF240E" w:rsidRDefault="00940B49" w:rsidP="006A4823">
      <w:pPr>
        <w:spacing w:after="120"/>
      </w:pPr>
      <w:r>
        <w:t>S</w:t>
      </w:r>
      <w:r w:rsidR="00DE634D" w:rsidRPr="00DE634D">
        <w:t xml:space="preserve">uccessful implementation of </w:t>
      </w:r>
      <w:proofErr w:type="gramStart"/>
      <w:r w:rsidR="00DE634D" w:rsidRPr="00DE634D">
        <w:t>NFM at</w:t>
      </w:r>
      <w:proofErr w:type="gramEnd"/>
      <w:r w:rsidR="00DE634D" w:rsidRPr="00DE634D">
        <w:t xml:space="preserve"> scale will require new economic models</w:t>
      </w:r>
      <w:r w:rsidR="00DE634D">
        <w:t xml:space="preserve"> </w:t>
      </w:r>
      <w:r w:rsidR="0007214F" w:rsidRPr="00AF240E">
        <w:t xml:space="preserve">that more fairly distribute the </w:t>
      </w:r>
      <w:r w:rsidR="00DE634D">
        <w:t>costs and benefits of</w:t>
      </w:r>
      <w:r w:rsidR="0007214F" w:rsidRPr="00AF240E">
        <w:t xml:space="preserve"> </w:t>
      </w:r>
      <w:r w:rsidR="003234D2">
        <w:t>large-scale riparian rehabilitation.</w:t>
      </w:r>
      <w:r w:rsidR="0007214F" w:rsidRPr="00AF240E">
        <w:t xml:space="preserve"> </w:t>
      </w:r>
      <w:r w:rsidR="00BB2469" w:rsidRPr="00BB2469">
        <w:t xml:space="preserve">These models should </w:t>
      </w:r>
      <w:proofErr w:type="spellStart"/>
      <w:r w:rsidR="00BB2469" w:rsidRPr="00BB2469">
        <w:t>recognise</w:t>
      </w:r>
      <w:proofErr w:type="spellEnd"/>
      <w:r w:rsidR="00BB2469" w:rsidRPr="00BB2469">
        <w:t xml:space="preserve"> the public value of healthy riparian corridors and provide direct </w:t>
      </w:r>
      <w:r w:rsidR="00BB2469">
        <w:t>support</w:t>
      </w:r>
      <w:r w:rsidR="00BB2469" w:rsidRPr="00BB2469">
        <w:t xml:space="preserve"> to landholders who protect and restore these areas in recognition of the ecosystem services they provide.</w:t>
      </w:r>
      <w:r w:rsidR="0007214F" w:rsidRPr="00AF240E">
        <w:t xml:space="preserve"> Potential </w:t>
      </w:r>
      <w:r w:rsidR="0021458D">
        <w:t>mechanisms</w:t>
      </w:r>
      <w:r w:rsidR="0007214F" w:rsidRPr="00AF240E">
        <w:t xml:space="preserve"> include:</w:t>
      </w:r>
    </w:p>
    <w:p w14:paraId="1EF469E6" w14:textId="65D6E5B3" w:rsidR="0007214F" w:rsidRPr="00AF240E" w:rsidRDefault="0021458D" w:rsidP="0007214F">
      <w:pPr>
        <w:pStyle w:val="ListParagraph"/>
        <w:numPr>
          <w:ilvl w:val="0"/>
          <w:numId w:val="22"/>
        </w:numPr>
        <w:rPr>
          <w:rFonts w:ascii="Times New Roman" w:hAnsi="Times New Roman" w:cs="Times New Roman"/>
          <w:sz w:val="22"/>
          <w:szCs w:val="22"/>
        </w:rPr>
      </w:pPr>
      <w:r>
        <w:rPr>
          <w:rFonts w:ascii="Times New Roman" w:hAnsi="Times New Roman" w:cs="Times New Roman"/>
          <w:sz w:val="22"/>
          <w:szCs w:val="22"/>
        </w:rPr>
        <w:t>Targeted f</w:t>
      </w:r>
      <w:r w:rsidR="00BB2469">
        <w:rPr>
          <w:rFonts w:ascii="Times New Roman" w:hAnsi="Times New Roman" w:cs="Times New Roman"/>
          <w:sz w:val="22"/>
          <w:szCs w:val="22"/>
        </w:rPr>
        <w:t xml:space="preserve">inancial </w:t>
      </w:r>
      <w:r w:rsidR="0007214F" w:rsidRPr="00AF240E">
        <w:rPr>
          <w:rFonts w:ascii="Times New Roman" w:hAnsi="Times New Roman" w:cs="Times New Roman"/>
          <w:sz w:val="22"/>
          <w:szCs w:val="22"/>
        </w:rPr>
        <w:t>incentive programs,</w:t>
      </w:r>
    </w:p>
    <w:p w14:paraId="218F5427" w14:textId="77777777" w:rsidR="0007214F" w:rsidRPr="00AF240E" w:rsidRDefault="0007214F" w:rsidP="0007214F">
      <w:pPr>
        <w:pStyle w:val="ListParagraph"/>
        <w:numPr>
          <w:ilvl w:val="0"/>
          <w:numId w:val="22"/>
        </w:numPr>
        <w:rPr>
          <w:rFonts w:ascii="Times New Roman" w:hAnsi="Times New Roman" w:cs="Times New Roman"/>
          <w:sz w:val="22"/>
          <w:szCs w:val="22"/>
        </w:rPr>
      </w:pPr>
      <w:r w:rsidRPr="00AF240E">
        <w:rPr>
          <w:rFonts w:ascii="Times New Roman" w:hAnsi="Times New Roman" w:cs="Times New Roman"/>
          <w:sz w:val="22"/>
          <w:szCs w:val="22"/>
        </w:rPr>
        <w:t>Leasing arrangements for riparian land,</w:t>
      </w:r>
    </w:p>
    <w:p w14:paraId="129C2D78" w14:textId="57CE72E2" w:rsidR="0007214F" w:rsidRPr="00AF240E" w:rsidRDefault="00D122A2" w:rsidP="0007214F">
      <w:pPr>
        <w:pStyle w:val="ListParagraph"/>
        <w:numPr>
          <w:ilvl w:val="0"/>
          <w:numId w:val="22"/>
        </w:numPr>
        <w:rPr>
          <w:rFonts w:ascii="Times New Roman" w:hAnsi="Times New Roman" w:cs="Times New Roman"/>
          <w:sz w:val="22"/>
          <w:szCs w:val="22"/>
        </w:rPr>
      </w:pPr>
      <w:r>
        <w:rPr>
          <w:rFonts w:ascii="Times New Roman" w:hAnsi="Times New Roman" w:cs="Times New Roman"/>
          <w:sz w:val="22"/>
          <w:szCs w:val="22"/>
        </w:rPr>
        <w:t xml:space="preserve">Stewardship </w:t>
      </w:r>
      <w:r w:rsidR="0007214F" w:rsidRPr="00AF240E">
        <w:rPr>
          <w:rFonts w:ascii="Times New Roman" w:hAnsi="Times New Roman" w:cs="Times New Roman"/>
          <w:sz w:val="22"/>
          <w:szCs w:val="22"/>
        </w:rPr>
        <w:t>schemes for managing native vegetation as a farm enterprise, and</w:t>
      </w:r>
    </w:p>
    <w:p w14:paraId="0C890B25" w14:textId="77777777" w:rsidR="0007214F" w:rsidRPr="00AF240E" w:rsidRDefault="0007214F" w:rsidP="0007214F">
      <w:pPr>
        <w:pStyle w:val="ListParagraph"/>
        <w:numPr>
          <w:ilvl w:val="0"/>
          <w:numId w:val="22"/>
        </w:numPr>
        <w:rPr>
          <w:rFonts w:ascii="Times New Roman" w:hAnsi="Times New Roman" w:cs="Times New Roman"/>
          <w:sz w:val="22"/>
          <w:szCs w:val="22"/>
        </w:rPr>
      </w:pPr>
      <w:r w:rsidRPr="00AF240E">
        <w:rPr>
          <w:rFonts w:ascii="Times New Roman" w:hAnsi="Times New Roman" w:cs="Times New Roman"/>
          <w:sz w:val="22"/>
          <w:szCs w:val="22"/>
        </w:rPr>
        <w:t>Strategic land buybacks in high-priority areas.</w:t>
      </w:r>
    </w:p>
    <w:p w14:paraId="4DFF7819" w14:textId="0211A419" w:rsidR="00580382" w:rsidRPr="00580382" w:rsidRDefault="0007214F" w:rsidP="002B1DA4">
      <w:pPr>
        <w:spacing w:after="0"/>
      </w:pPr>
      <w:r w:rsidRPr="00AF240E">
        <w:t>Without structural support for landholders, NFM is unlikely to move beyond small-scale, opportunistic efforts, limiting its potential to deliver meaningful flood resilience, water quality improvement, and biodiversity outcomes.</w:t>
      </w:r>
    </w:p>
    <w:p w14:paraId="33C02812" w14:textId="748F60A3" w:rsidR="00217F26" w:rsidRPr="00472752" w:rsidRDefault="00DF1536" w:rsidP="00680CE8">
      <w:pPr>
        <w:pStyle w:val="Heading1"/>
        <w:spacing w:before="120" w:after="120"/>
        <w:ind w:left="432" w:hanging="432"/>
      </w:pPr>
      <w:r w:rsidRPr="00361060">
        <w:rPr>
          <w:rFonts w:cs="Times New Roman"/>
          <w:sz w:val="22"/>
          <w:szCs w:val="22"/>
        </w:rPr>
        <w:lastRenderedPageBreak/>
        <w:t>Conclusions</w:t>
      </w:r>
    </w:p>
    <w:p w14:paraId="29B21952" w14:textId="05A69D57" w:rsidR="00217F26" w:rsidRPr="00472752" w:rsidRDefault="2F90A62B" w:rsidP="00CA7ADC">
      <w:r w:rsidRPr="687979B2">
        <w:t>Natural Flood Management in eastern Australia must account for geomorphic</w:t>
      </w:r>
      <w:r w:rsidR="001E4E78">
        <w:t xml:space="preserve"> processes,</w:t>
      </w:r>
      <w:r w:rsidRPr="687979B2">
        <w:t xml:space="preserve"> as well as hydrological and hydraulic processes. Channel form is not fixed: ongoing enlargement can increase conveyance, reduce channel–floodplain connectivity and floodplain storage, accelerate flood-wave movement and increase downstream flood peaks. In the </w:t>
      </w:r>
      <w:proofErr w:type="gramStart"/>
      <w:r w:rsidRPr="687979B2">
        <w:t>South East</w:t>
      </w:r>
      <w:proofErr w:type="gramEnd"/>
      <w:r w:rsidRPr="687979B2">
        <w:t xml:space="preserve"> Queensland case studies, channel enlargement over little more than a decade increased modelled peak discharges by up to approximately 14%.</w:t>
      </w:r>
    </w:p>
    <w:p w14:paraId="481E8CDB" w14:textId="3B8A1ED7" w:rsidR="00217F26" w:rsidRPr="00472752" w:rsidRDefault="2F90A62B" w:rsidP="00CA7ADC">
      <w:r w:rsidRPr="687979B2">
        <w:t>These effects vary with geomorphic setting. Where enlargement reduces floodplain engagement, downstream flood peaks may increase substantially. In reaches affected by valley constrictions or other hydraulic controls, however, backwater effects can limit the influence of local channel capacity and roughness, particularly during larger floods.</w:t>
      </w:r>
    </w:p>
    <w:p w14:paraId="29968054" w14:textId="00B1829E" w:rsidR="00217F26" w:rsidRPr="00472752" w:rsidRDefault="2F90A62B" w:rsidP="00CA7ADC">
      <w:r w:rsidRPr="687979B2">
        <w:t>Effective NFM should therefore combine measures that increase infiltration, roughness and floodplain storage with actions that protect intact waterways, arrest channel degradation and promote geomorphic recovery. Large-scale riparian rehabilitation is especially important because vegetation can both increase hydraulic resistance and limit further channel enlargement.</w:t>
      </w:r>
    </w:p>
    <w:p w14:paraId="7187B2F0" w14:textId="7508AD79" w:rsidR="00217F26" w:rsidRPr="00472752" w:rsidRDefault="2F90A62B" w:rsidP="00CA7ADC">
      <w:r w:rsidRPr="687979B2">
        <w:t xml:space="preserve">Successful NFM will </w:t>
      </w:r>
      <w:r w:rsidR="00680CE8">
        <w:t xml:space="preserve">inevitably </w:t>
      </w:r>
      <w:r w:rsidRPr="687979B2">
        <w:t>redistribute water, sediment and flood impacts through</w:t>
      </w:r>
      <w:r w:rsidR="00CA7ADC">
        <w:t>out</w:t>
      </w:r>
      <w:r w:rsidRPr="687979B2">
        <w:t xml:space="preserve"> catchments. These consequences must be anticipated through careful assessment, monitoring, adaptive management and appropriate institutional arrangements</w:t>
      </w:r>
      <w:r w:rsidR="006E72D9">
        <w:t>.</w:t>
      </w:r>
    </w:p>
    <w:p w14:paraId="143B93BA" w14:textId="24B3894C" w:rsidR="00217F26" w:rsidRPr="00472752" w:rsidRDefault="2F22DD23" w:rsidP="00CA7ADC">
      <w:r>
        <w:t xml:space="preserve"> </w:t>
      </w:r>
    </w:p>
    <w:p w14:paraId="3B50650C" w14:textId="77777777" w:rsidR="00515488" w:rsidRDefault="00515488" w:rsidP="00CA7ADC">
      <w:pPr>
        <w:rPr>
          <w:rFonts w:cs="Arial"/>
          <w:b/>
          <w:bCs/>
          <w:kern w:val="32"/>
          <w:sz w:val="24"/>
          <w:szCs w:val="32"/>
        </w:rPr>
      </w:pPr>
      <w:r>
        <w:br w:type="page"/>
      </w:r>
    </w:p>
    <w:p w14:paraId="52E56223" w14:textId="640F5583" w:rsidR="00262BE8" w:rsidRPr="00F509D6" w:rsidRDefault="00262BE8" w:rsidP="00CA7ADC">
      <w:pPr>
        <w:pStyle w:val="Heading1"/>
      </w:pPr>
      <w:r>
        <w:lastRenderedPageBreak/>
        <w:t>Ref</w:t>
      </w:r>
      <w:r>
        <w:rPr>
          <w:spacing w:val="1"/>
        </w:rPr>
        <w:t>e</w:t>
      </w:r>
      <w:r>
        <w:t>ren</w:t>
      </w:r>
      <w:r>
        <w:rPr>
          <w:spacing w:val="1"/>
        </w:rPr>
        <w:t>c</w:t>
      </w:r>
      <w:r>
        <w:t>es</w:t>
      </w:r>
    </w:p>
    <w:p w14:paraId="07547A01" w14:textId="77777777" w:rsidR="00262BE8" w:rsidRDefault="00262BE8" w:rsidP="00CA7ADC">
      <w:pPr>
        <w:widowControl w:val="0"/>
        <w:autoSpaceDE w:val="0"/>
        <w:autoSpaceDN w:val="0"/>
        <w:adjustRightInd w:val="0"/>
        <w:spacing w:after="60" w:line="200" w:lineRule="exact"/>
        <w:rPr>
          <w:color w:val="000000"/>
          <w:sz w:val="20"/>
          <w:szCs w:val="20"/>
        </w:rPr>
      </w:pPr>
    </w:p>
    <w:p w14:paraId="02BDE4E3" w14:textId="70752971" w:rsidR="00FA0BC0" w:rsidRDefault="00FA0BC0" w:rsidP="00CA7ADC">
      <w:pPr>
        <w:spacing w:after="60"/>
      </w:pPr>
      <w:r>
        <w:t xml:space="preserve">Agnew and </w:t>
      </w:r>
      <w:proofErr w:type="spellStart"/>
      <w:r>
        <w:t>Fryirs</w:t>
      </w:r>
      <w:proofErr w:type="spellEnd"/>
      <w:r>
        <w:t>, 20</w:t>
      </w:r>
      <w:r w:rsidR="00DE32E8">
        <w:t xml:space="preserve">22. </w:t>
      </w:r>
      <w:r w:rsidR="00DE32E8" w:rsidRPr="00DE32E8">
        <w:t xml:space="preserve">Agnew, D., and </w:t>
      </w:r>
      <w:proofErr w:type="spellStart"/>
      <w:r w:rsidR="00DE32E8" w:rsidRPr="00DE32E8">
        <w:t>Fryirs</w:t>
      </w:r>
      <w:proofErr w:type="spellEnd"/>
      <w:r w:rsidR="00DE32E8" w:rsidRPr="00DE32E8">
        <w:t xml:space="preserve">, K. (2022). Identifying corridors of river recovery in coastal NSW Australia, for use in river management decision support and prioritisation systems. </w:t>
      </w:r>
      <w:proofErr w:type="spellStart"/>
      <w:r w:rsidR="00DE32E8" w:rsidRPr="00DE32E8">
        <w:rPr>
          <w:i/>
          <w:iCs/>
        </w:rPr>
        <w:t>PLoS</w:t>
      </w:r>
      <w:proofErr w:type="spellEnd"/>
      <w:r w:rsidR="00DE32E8" w:rsidRPr="00DE32E8">
        <w:rPr>
          <w:i/>
          <w:iCs/>
        </w:rPr>
        <w:t xml:space="preserve"> ONE</w:t>
      </w:r>
    </w:p>
    <w:p w14:paraId="2E0A3FE9" w14:textId="11918BAC" w:rsidR="00F424F3" w:rsidRPr="00515488" w:rsidRDefault="00F424F3" w:rsidP="00CA7ADC">
      <w:pPr>
        <w:spacing w:after="60"/>
      </w:pPr>
      <w:r>
        <w:t>Alluvium Consulting. (2011)</w:t>
      </w:r>
      <w:r w:rsidR="00562A22">
        <w:t xml:space="preserve">. An assessment of the impact of riparian revegetation on stream erosion during </w:t>
      </w:r>
      <w:r w:rsidR="00562A22" w:rsidRPr="00515488">
        <w:t xml:space="preserve">floods in Victoria. </w:t>
      </w:r>
      <w:r w:rsidR="00335029" w:rsidRPr="00515488">
        <w:t xml:space="preserve">Report to Department of Sustainability and Environment, Victora. </w:t>
      </w:r>
    </w:p>
    <w:p w14:paraId="114FA4B0" w14:textId="2E595AD4" w:rsidR="00C71958" w:rsidRPr="00515488" w:rsidRDefault="00C71958" w:rsidP="00CA7ADC">
      <w:pPr>
        <w:spacing w:after="60"/>
      </w:pPr>
      <w:r w:rsidRPr="00515488">
        <w:t>Alluvium Consulting. (2024).</w:t>
      </w:r>
      <w:r w:rsidR="00197B7E" w:rsidRPr="00680CE8">
        <w:t xml:space="preserve"> DRFA Natural Flood Management Scoping Investigations: Background Review. Report prepared for Council of Mayors SEQ. </w:t>
      </w:r>
    </w:p>
    <w:p w14:paraId="17D14B97" w14:textId="6BD61C9F" w:rsidR="006C7DC8" w:rsidRDefault="00C71958" w:rsidP="00CA7ADC">
      <w:pPr>
        <w:spacing w:after="60"/>
      </w:pPr>
      <w:r w:rsidRPr="00515488">
        <w:t>Alluvium Consulting. (2025).</w:t>
      </w:r>
      <w:r w:rsidR="006C7DC8" w:rsidRPr="00515488">
        <w:t xml:space="preserve"> SEQ Strategic River Resilience Works program: Preliminary flood impact assessments due to erosion. Report prepared</w:t>
      </w:r>
      <w:r w:rsidR="006C7DC8">
        <w:t xml:space="preserve"> for Council of Mayors SEQ. </w:t>
      </w:r>
    </w:p>
    <w:p w14:paraId="4E64FA04" w14:textId="7823D281" w:rsidR="00EC5C91" w:rsidRPr="00CE3113" w:rsidRDefault="00EC5C91" w:rsidP="00CA7ADC">
      <w:pPr>
        <w:spacing w:after="60"/>
      </w:pPr>
      <w:r>
        <w:t>Arash</w:t>
      </w:r>
      <w:r w:rsidR="000352A2">
        <w:t xml:space="preserve">, A.M., </w:t>
      </w:r>
      <w:proofErr w:type="spellStart"/>
      <w:r w:rsidR="000352A2">
        <w:t>Fryirs</w:t>
      </w:r>
      <w:proofErr w:type="spellEnd"/>
      <w:r w:rsidR="000352A2">
        <w:t xml:space="preserve">, F. and Ralph, TJ. (2023). </w:t>
      </w:r>
      <w:r w:rsidR="000352A2" w:rsidRPr="000352A2">
        <w:t>Detection of decadal time-series changes in flow hydrology in eastern Australia: Considerations for river recovery and flood management</w:t>
      </w:r>
      <w:r w:rsidR="000352A2">
        <w:t xml:space="preserve">. </w:t>
      </w:r>
      <w:r w:rsidR="000352A2">
        <w:rPr>
          <w:i/>
          <w:iCs/>
        </w:rPr>
        <w:t>Earth Surface Processes and Landforms</w:t>
      </w:r>
      <w:r w:rsidR="00CE3113">
        <w:rPr>
          <w:i/>
          <w:iCs/>
        </w:rPr>
        <w:t xml:space="preserve">. </w:t>
      </w:r>
      <w:r w:rsidR="00CE3113" w:rsidRPr="00CE3113">
        <w:t>48(15). https://doi.org/10.1002/esp.5694</w:t>
      </w:r>
    </w:p>
    <w:p w14:paraId="126D393F" w14:textId="73E0D374" w:rsidR="0079338F" w:rsidRDefault="00A76F5E" w:rsidP="00CA7ADC">
      <w:pPr>
        <w:spacing w:after="60"/>
      </w:pPr>
      <w:r w:rsidRPr="00A76F5E">
        <w:t>Brooks, A.P, Spencer, J.S., Agnew, D. and Daley, J. (2025). Sediment pollution sources to the Richmond River: Final report for the Richmond River Estuary Coastal Management Program Stage 2.1 Strategic Prioritisation for on-ground works. Precision Erosion and Sediment Management Group, Griffith University. </w:t>
      </w:r>
    </w:p>
    <w:p w14:paraId="653779BB" w14:textId="435E4441" w:rsidR="00F509D6" w:rsidRPr="00F76334" w:rsidRDefault="00F509D6" w:rsidP="00CA7ADC">
      <w:pPr>
        <w:spacing w:after="60"/>
      </w:pPr>
      <w:r>
        <w:t xml:space="preserve">CSIRO. (2024). </w:t>
      </w:r>
      <w:r w:rsidRPr="00F76334">
        <w:t>Understanding the causes and impacts of flooding</w:t>
      </w:r>
      <w:r>
        <w:t xml:space="preserve">. </w:t>
      </w:r>
      <w:r w:rsidRPr="00F76334">
        <w:t>https://www.csiro.au/en/research/disasters/floods/Causes-and-impacts</w:t>
      </w:r>
    </w:p>
    <w:p w14:paraId="1B6C6024" w14:textId="0723335E" w:rsidR="00F525AE" w:rsidRDefault="00F525AE" w:rsidP="00CA7ADC">
      <w:pPr>
        <w:spacing w:after="60"/>
      </w:pPr>
      <w:proofErr w:type="spellStart"/>
      <w:r w:rsidRPr="00AE0439">
        <w:t>Fryirs</w:t>
      </w:r>
      <w:proofErr w:type="spellEnd"/>
      <w:r w:rsidRPr="00AE0439">
        <w:t xml:space="preserve">, K., Zhang, N., Ralph, T.J. &amp; Arash, A.M. (2023) Natural flood management: Lessons and opportunities from the catastrophic 2021–2022 floods in eastern Australia. Earth Surface Processes and Landforms, 48(9), 1649–1664. </w:t>
      </w:r>
      <w:r>
        <w:t>https://doi.org/10.1002/esp.5647</w:t>
      </w:r>
    </w:p>
    <w:p w14:paraId="1C45E170" w14:textId="51F4123C" w:rsidR="00F509D6" w:rsidRDefault="00F509D6" w:rsidP="00CA7ADC">
      <w:pPr>
        <w:spacing w:after="60"/>
      </w:pPr>
      <w:r>
        <w:t xml:space="preserve">Insurance Council of Australia. (2024). News release: New data shows long-term cost of extreme weather. </w:t>
      </w:r>
      <w:r w:rsidRPr="00E71A6C">
        <w:t>https://insurancecouncil.com.au/wp-content/uploads/2024/08/240819-New-data-shows-long-term-cost-of-extreme-weather.pdf</w:t>
      </w:r>
    </w:p>
    <w:p w14:paraId="29DDB58D" w14:textId="77777777" w:rsidR="003B2E4F" w:rsidRPr="00626A02" w:rsidRDefault="003B2E4F" w:rsidP="00CA7ADC">
      <w:pPr>
        <w:spacing w:after="60"/>
      </w:pPr>
      <w:r w:rsidRPr="003B2E4F">
        <w:t xml:space="preserve">Lane, S.N. (2017) Natural flood management. </w:t>
      </w:r>
      <w:r w:rsidRPr="003B2E4F">
        <w:rPr>
          <w:i/>
          <w:iCs/>
        </w:rPr>
        <w:t>Wiley Interdisciplinary Reviews: Water</w:t>
      </w:r>
      <w:r w:rsidRPr="003B2E4F">
        <w:t xml:space="preserve">, 4(3), e1211. Available from: </w:t>
      </w:r>
      <w:r w:rsidRPr="00626A02">
        <w:t>https://doi.org/10.1002/wat2.1211</w:t>
      </w:r>
    </w:p>
    <w:p w14:paraId="7EA2C806" w14:textId="7191E988" w:rsidR="00B13FF5" w:rsidRDefault="00B13FF5" w:rsidP="00CA7ADC">
      <w:pPr>
        <w:spacing w:after="60"/>
      </w:pPr>
      <w:r w:rsidRPr="00B13FF5">
        <w:t>Nicholson, A</w:t>
      </w:r>
      <w:r>
        <w:t>.,</w:t>
      </w:r>
      <w:r w:rsidRPr="00B13FF5">
        <w:t xml:space="preserve"> O'Donnell, G</w:t>
      </w:r>
      <w:r>
        <w:t>.,</w:t>
      </w:r>
      <w:r w:rsidRPr="00B13FF5">
        <w:t xml:space="preserve"> Wilkinson, M</w:t>
      </w:r>
      <w:r>
        <w:t>.</w:t>
      </w:r>
      <w:r w:rsidRPr="00B13FF5">
        <w:t xml:space="preserve"> &amp; Quinn, P. (2019). The potential of runoff attenuation features as a Natural Flood Management approach. Journal of Flood Risk Management. 13. 10.1111/jfr3.12565. </w:t>
      </w:r>
    </w:p>
    <w:p w14:paraId="3FE64BBF" w14:textId="07EBDDA5" w:rsidR="00F509D6" w:rsidRPr="00626A02" w:rsidRDefault="00F509D6" w:rsidP="00CA7ADC">
      <w:pPr>
        <w:spacing w:after="60"/>
      </w:pPr>
      <w:r w:rsidRPr="00626A02">
        <w:t>NSW DPE. (2026). Flood recovery program - east coast project water quality dashboard. https://naturalhazardsscience-hub.seed.nsw.gov.au/flood-impacts-and-recovery/flood-recovery-program-east-coast-project-water-quality-dashboard</w:t>
      </w:r>
    </w:p>
    <w:p w14:paraId="00F4B1DC" w14:textId="77777777" w:rsidR="00F509D6" w:rsidRPr="00626A02" w:rsidRDefault="00F509D6" w:rsidP="00CA7ADC">
      <w:pPr>
        <w:spacing w:after="60"/>
      </w:pPr>
      <w:r w:rsidRPr="00626A02">
        <w:t>NSW EPA (2025). NSW Government response to fish kills in Northern Rivers. https://www.epa.nsw.gov.au/news/epamedia/250326-nsw-government-response-to-fish-kills-in-northern-rivers</w:t>
      </w:r>
    </w:p>
    <w:p w14:paraId="574120D0" w14:textId="7F8F5905" w:rsidR="005D41B8" w:rsidRPr="00626A02" w:rsidRDefault="001425DD" w:rsidP="00CA7ADC">
      <w:pPr>
        <w:spacing w:after="60"/>
      </w:pPr>
      <w:r w:rsidRPr="00626A02">
        <w:t xml:space="preserve">Pattison, I., Lane, S.N., Hardy, R.J., Reaney, S.M. (2014). The role of tributary relative timing and sequencing in controlling large floods. </w:t>
      </w:r>
      <w:r w:rsidRPr="00626A02">
        <w:rPr>
          <w:i/>
          <w:iCs/>
        </w:rPr>
        <w:t xml:space="preserve">Water </w:t>
      </w:r>
      <w:proofErr w:type="spellStart"/>
      <w:r w:rsidRPr="00626A02">
        <w:rPr>
          <w:i/>
          <w:iCs/>
        </w:rPr>
        <w:t>Resour</w:t>
      </w:r>
      <w:proofErr w:type="spellEnd"/>
      <w:r w:rsidRPr="00626A02">
        <w:rPr>
          <w:i/>
          <w:iCs/>
        </w:rPr>
        <w:t xml:space="preserve"> Res</w:t>
      </w:r>
      <w:r w:rsidRPr="00626A02">
        <w:t>. 50:5444–5458.</w:t>
      </w:r>
    </w:p>
    <w:p w14:paraId="0BD9ED3D" w14:textId="38987145" w:rsidR="0079338F" w:rsidRPr="00626A02" w:rsidRDefault="04CE420B" w:rsidP="00CA7ADC">
      <w:pPr>
        <w:spacing w:after="60"/>
      </w:pPr>
      <w:r w:rsidRPr="00626A02">
        <w:t>Prinsley, R., Sedighkia, M., Herath, P., Alexandra, J., Webster, T., Menzies, K.,</w:t>
      </w:r>
      <w:r w:rsidR="7887AA41" w:rsidRPr="00626A02">
        <w:t xml:space="preserve"> Croke, B., Hunt, S., Smith, J., Cordova, A., Falconer, N., Manning, M.</w:t>
      </w:r>
      <w:r w:rsidRPr="00626A02">
        <w:t xml:space="preserve"> &amp; Wissing, K. (2025). Nature-based Solutions for flood mitigation in Australia-3 volumes, ANU</w:t>
      </w:r>
    </w:p>
    <w:p w14:paraId="62ABB858" w14:textId="7DC3B65B" w:rsidR="059ADBBA" w:rsidRPr="00626A02" w:rsidRDefault="059ADBBA" w:rsidP="00CA7ADC">
      <w:pPr>
        <w:spacing w:after="60"/>
      </w:pPr>
      <w:r w:rsidRPr="00680CE8">
        <w:rPr>
          <w:rFonts w:eastAsia="Arial"/>
          <w:color w:val="222222"/>
        </w:rPr>
        <w:t xml:space="preserve">Prosser, I. P., Rutherfurd, I. D., Olley, J. M., Young, W. J., </w:t>
      </w:r>
      <w:proofErr w:type="spellStart"/>
      <w:r w:rsidRPr="00680CE8">
        <w:rPr>
          <w:rFonts w:eastAsia="Arial"/>
          <w:color w:val="222222"/>
        </w:rPr>
        <w:t>Wallbrink</w:t>
      </w:r>
      <w:proofErr w:type="spellEnd"/>
      <w:r w:rsidRPr="00680CE8">
        <w:rPr>
          <w:rFonts w:eastAsia="Arial"/>
          <w:color w:val="222222"/>
        </w:rPr>
        <w:t xml:space="preserve">, P. J., &amp; Moran, C. J. (2001). Large-scale patterns of erosion and sediment transport in river networks, with examples from Australia. </w:t>
      </w:r>
      <w:r w:rsidRPr="00680CE8">
        <w:rPr>
          <w:rFonts w:eastAsia="Arial"/>
          <w:i/>
          <w:iCs/>
          <w:color w:val="222222"/>
        </w:rPr>
        <w:t>Marine and Freshwater Research</w:t>
      </w:r>
      <w:r w:rsidRPr="00680CE8">
        <w:rPr>
          <w:rFonts w:eastAsia="Arial"/>
          <w:color w:val="222222"/>
        </w:rPr>
        <w:t xml:space="preserve">, </w:t>
      </w:r>
      <w:r w:rsidRPr="00680CE8">
        <w:rPr>
          <w:rFonts w:eastAsia="Arial"/>
          <w:i/>
          <w:iCs/>
          <w:color w:val="222222"/>
        </w:rPr>
        <w:t>52</w:t>
      </w:r>
      <w:r w:rsidRPr="00680CE8">
        <w:rPr>
          <w:rFonts w:eastAsia="Arial"/>
          <w:color w:val="222222"/>
        </w:rPr>
        <w:t>(1), 81-99.</w:t>
      </w:r>
    </w:p>
    <w:p w14:paraId="2A93CF64" w14:textId="04D19B82" w:rsidR="059ADBBA" w:rsidRPr="00680CE8" w:rsidRDefault="059ADBBA" w:rsidP="00CA7ADC">
      <w:pPr>
        <w:spacing w:after="60"/>
        <w:rPr>
          <w:rFonts w:eastAsia="Arial"/>
        </w:rPr>
      </w:pPr>
      <w:r w:rsidRPr="00680CE8">
        <w:rPr>
          <w:rFonts w:eastAsia="Arial"/>
          <w:color w:val="222222"/>
        </w:rPr>
        <w:t xml:space="preserve">Rutherfurd, I. (2000). Some human impacts on Australian stream channel morphology. </w:t>
      </w:r>
      <w:r w:rsidRPr="00680CE8">
        <w:rPr>
          <w:rFonts w:eastAsia="Arial"/>
          <w:i/>
          <w:iCs/>
          <w:color w:val="222222"/>
        </w:rPr>
        <w:t>River management: the Australasian experience</w:t>
      </w:r>
      <w:r w:rsidRPr="00680CE8">
        <w:rPr>
          <w:rFonts w:eastAsia="Arial"/>
          <w:color w:val="222222"/>
        </w:rPr>
        <w:t>, 11-49.</w:t>
      </w:r>
    </w:p>
    <w:p w14:paraId="0919DA0B" w14:textId="6F3FCFDB" w:rsidR="00405A8F" w:rsidRPr="00626A02" w:rsidRDefault="00405A8F" w:rsidP="00CA7ADC">
      <w:pPr>
        <w:widowControl w:val="0"/>
        <w:autoSpaceDE w:val="0"/>
        <w:autoSpaceDN w:val="0"/>
        <w:adjustRightInd w:val="0"/>
        <w:spacing w:after="60" w:line="200" w:lineRule="exact"/>
      </w:pPr>
      <w:r w:rsidRPr="00626A02">
        <w:t xml:space="preserve">Simon, A., &amp; Darby, S. E. (2002). Effectiveness of grade-control structures in reducing erosion along incised river channels: the case of </w:t>
      </w:r>
      <w:proofErr w:type="spellStart"/>
      <w:r w:rsidRPr="00626A02">
        <w:t>Hotophia</w:t>
      </w:r>
      <w:proofErr w:type="spellEnd"/>
      <w:r w:rsidRPr="00626A02">
        <w:t xml:space="preserve"> Creek, Mississippi. Geomorphology, 42(3-4), 229-254.</w:t>
      </w:r>
    </w:p>
    <w:p w14:paraId="5BEB24A1" w14:textId="37C7ECF3" w:rsidR="007C1F87" w:rsidRPr="00626A02" w:rsidRDefault="007C1F87" w:rsidP="00CA7ADC">
      <w:pPr>
        <w:spacing w:after="60"/>
      </w:pPr>
      <w:r w:rsidRPr="00626A02">
        <w:t>Water Technology. (2020). Ipswich Integrated Catchment Plan</w:t>
      </w:r>
      <w:r w:rsidR="00E86D88" w:rsidRPr="00626A02">
        <w:t>: Technical Evidence Report</w:t>
      </w:r>
      <w:r w:rsidRPr="00626A02">
        <w:t xml:space="preserve">. </w:t>
      </w:r>
      <w:r w:rsidR="00F81269" w:rsidRPr="00626A02">
        <w:t>Report to Ip</w:t>
      </w:r>
      <w:r w:rsidR="007C4786" w:rsidRPr="00626A02">
        <w:t xml:space="preserve">swich City Council. </w:t>
      </w:r>
    </w:p>
    <w:p w14:paraId="513B3FB6" w14:textId="5F01647A" w:rsidR="007C1F87" w:rsidRPr="00110402" w:rsidRDefault="00CD1E8E" w:rsidP="00CA7ADC">
      <w:pPr>
        <w:widowControl w:val="0"/>
        <w:autoSpaceDE w:val="0"/>
        <w:autoSpaceDN w:val="0"/>
        <w:adjustRightInd w:val="0"/>
        <w:spacing w:after="60" w:line="200" w:lineRule="exact"/>
      </w:pPr>
      <w:r w:rsidRPr="00CD1E8E">
        <w:t>Wilkinson, M. E., S. Addy, P. F. Quinn, and M. Stutter. </w:t>
      </w:r>
      <w:r>
        <w:t>(</w:t>
      </w:r>
      <w:r w:rsidRPr="00CD1E8E">
        <w:t>2019</w:t>
      </w:r>
      <w:r>
        <w:t>)</w:t>
      </w:r>
      <w:r w:rsidRPr="00CD1E8E">
        <w:t>. Natural Flood Management: Small-Scale Progress and Larger-Scale Challenges. </w:t>
      </w:r>
      <w:r w:rsidRPr="00CD1E8E">
        <w:rPr>
          <w:i/>
          <w:iCs/>
        </w:rPr>
        <w:t>Scottish Geographical Journal</w:t>
      </w:r>
      <w:r>
        <w:rPr>
          <w:i/>
          <w:iCs/>
        </w:rPr>
        <w:t>.</w:t>
      </w:r>
      <w:r w:rsidRPr="00CD1E8E">
        <w:t> </w:t>
      </w:r>
      <w:r w:rsidRPr="00680CE8">
        <w:t>135</w:t>
      </w:r>
      <w:r>
        <w:t>(</w:t>
      </w:r>
      <w:r w:rsidRPr="00CD1E8E">
        <w:t>1–2</w:t>
      </w:r>
      <w:r>
        <w:t>),</w:t>
      </w:r>
      <w:r w:rsidRPr="00CD1E8E">
        <w:t> 23–32. </w:t>
      </w:r>
      <w:hyperlink r:id="rId18" w:history="1">
        <w:r w:rsidRPr="00680CE8">
          <w:rPr>
            <w:rStyle w:val="Hyperlink"/>
            <w:color w:val="auto"/>
            <w:u w:val="none"/>
          </w:rPr>
          <w:t>https://doi.org/10.1080/14702541.2019.16105</w:t>
        </w:r>
      </w:hyperlink>
    </w:p>
    <w:sectPr w:rsidR="007C1F87" w:rsidRPr="00110402">
      <w:headerReference w:type="default" r:id="rId19"/>
      <w:footerReference w:type="even" r:id="rId20"/>
      <w:footerReference w:type="default" r:id="rId21"/>
      <w:footerReference w:type="first" r:id="rId22"/>
      <w:pgSz w:w="11920" w:h="16840"/>
      <w:pgMar w:top="1060" w:right="1060" w:bottom="0" w:left="1020" w:header="720" w:footer="720" w:gutter="0"/>
      <w:cols w:space="720" w:equalWidth="0">
        <w:col w:w="98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1826" w14:textId="77777777" w:rsidR="00B36869" w:rsidRDefault="00B36869">
      <w:r>
        <w:separator/>
      </w:r>
    </w:p>
  </w:endnote>
  <w:endnote w:type="continuationSeparator" w:id="0">
    <w:p w14:paraId="0C028029" w14:textId="77777777" w:rsidR="00B36869" w:rsidRDefault="00B3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charset w:val="00"/>
    <w:family w:val="roman"/>
    <w:pitch w:val="default"/>
  </w:font>
  <w:font w:name=".AppleSystemUIFont">
    <w:altName w:val="Cambria"/>
    <w:charset w:val="00"/>
    <w:family w:val="roman"/>
    <w:pitch w:val="default"/>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4BBED25A" w:rsidR="007F44DB" w:rsidRDefault="00663DE3">
    <w:pPr>
      <w:pStyle w:val="Footer"/>
      <w:framePr w:wrap="none" w:vAnchor="text" w:hAnchor="margin" w:xAlign="right" w:y="1"/>
      <w:rPr>
        <w:rStyle w:val="PageNumber"/>
      </w:rPr>
    </w:pPr>
    <w:r>
      <w:rPr>
        <w:noProof/>
      </w:rPr>
      <mc:AlternateContent>
        <mc:Choice Requires="wps">
          <w:drawing>
            <wp:anchor distT="0" distB="0" distL="0" distR="0" simplePos="0" relativeHeight="251658241" behindDoc="0" locked="0" layoutInCell="1" allowOverlap="1" wp14:anchorId="7298AAB9" wp14:editId="05449E2B">
              <wp:simplePos x="635" y="635"/>
              <wp:positionH relativeFrom="page">
                <wp:align>center</wp:align>
              </wp:positionH>
              <wp:positionV relativeFrom="page">
                <wp:align>bottom</wp:align>
              </wp:positionV>
              <wp:extent cx="637540" cy="376555"/>
              <wp:effectExtent l="0" t="0" r="10160" b="0"/>
              <wp:wrapNone/>
              <wp:docPr id="1884753424"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4E0EC198" w14:textId="2725BB83"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8AAB9" id="_x0000_t202" coordsize="21600,21600" o:spt="202" path="m,l,21600r21600,l21600,xe">
              <v:stroke joinstyle="miter"/>
              <v:path gradientshapeok="t" o:connecttype="rect"/>
            </v:shapetype>
            <v:shape id="Text Box 2" o:spid="_x0000_s1026" type="#_x0000_t202" alt="Unofficial" style="position:absolute;margin-left:0;margin-top:0;width:50.2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" filled="f" stroked="f">
              <v:textbox style="mso-fit-shape-to-text:t" inset="0,0,0,15pt">
                <w:txbxContent>
                  <w:p w14:paraId="4E0EC198" w14:textId="2725BB83"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r w:rsidR="007F44DB">
      <w:rPr>
        <w:rStyle w:val="PageNumber"/>
      </w:rPr>
      <w:fldChar w:fldCharType="begin"/>
    </w:r>
    <w:r w:rsidR="007F44DB">
      <w:rPr>
        <w:rStyle w:val="PageNumber"/>
      </w:rPr>
      <w:instrText xml:space="preserve"> PAGE </w:instrText>
    </w:r>
    <w:r w:rsidR="007F44DB">
      <w:rPr>
        <w:rStyle w:val="PageNumber"/>
      </w:rPr>
      <w:fldChar w:fldCharType="end"/>
    </w:r>
  </w:p>
  <w:p w14:paraId="738610EB" w14:textId="77777777" w:rsidR="007F44DB" w:rsidRDefault="007F44DB" w:rsidP="007F44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4A32FDA" w:rsidR="007F44DB" w:rsidRPr="007F44DB" w:rsidRDefault="00663DE3">
    <w:pPr>
      <w:pStyle w:val="Footer"/>
      <w:framePr w:wrap="none" w:vAnchor="text" w:hAnchor="margin" w:xAlign="right" w:y="1"/>
      <w:rPr>
        <w:i/>
        <w:iCs/>
        <w:color w:val="7F7F7F"/>
        <w:sz w:val="16"/>
        <w:szCs w:val="16"/>
      </w:rPr>
    </w:pPr>
    <w:r>
      <w:rPr>
        <w:i/>
        <w:iCs/>
        <w:noProof/>
        <w:color w:val="7F7F7F"/>
        <w:sz w:val="16"/>
        <w:szCs w:val="16"/>
      </w:rPr>
      <mc:AlternateContent>
        <mc:Choice Requires="wps">
          <w:drawing>
            <wp:anchor distT="0" distB="0" distL="0" distR="0" simplePos="0" relativeHeight="251658242" behindDoc="0" locked="0" layoutInCell="1" allowOverlap="1" wp14:anchorId="336FB91E" wp14:editId="2E8184DC">
              <wp:simplePos x="6848475" y="10134600"/>
              <wp:positionH relativeFrom="page">
                <wp:align>center</wp:align>
              </wp:positionH>
              <wp:positionV relativeFrom="page">
                <wp:align>bottom</wp:align>
              </wp:positionV>
              <wp:extent cx="637540" cy="376555"/>
              <wp:effectExtent l="0" t="0" r="10160" b="0"/>
              <wp:wrapNone/>
              <wp:docPr id="622184922"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57132C22" w14:textId="1590F2C4"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FB91E" id="_x0000_t202" coordsize="21600,21600" o:spt="202" path="m,l,21600r21600,l21600,xe">
              <v:stroke joinstyle="miter"/>
              <v:path gradientshapeok="t" o:connecttype="rect"/>
            </v:shapetype>
            <v:shape id="Text Box 3" o:spid="_x0000_s1027" type="#_x0000_t202" alt="Unofficial" style="position:absolute;margin-left:0;margin-top:0;width:50.2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" filled="f" stroked="f">
              <v:textbox style="mso-fit-shape-to-text:t" inset="0,0,0,15pt">
                <w:txbxContent>
                  <w:p w14:paraId="57132C22" w14:textId="1590F2C4"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r w:rsidR="007F44DB" w:rsidRPr="007F44DB">
      <w:rPr>
        <w:i/>
        <w:iCs/>
        <w:color w:val="7F7F7F"/>
        <w:sz w:val="16"/>
        <w:szCs w:val="16"/>
      </w:rPr>
      <w:fldChar w:fldCharType="begin"/>
    </w:r>
    <w:r w:rsidR="007F44DB" w:rsidRPr="007F44DB">
      <w:rPr>
        <w:i/>
        <w:iCs/>
        <w:color w:val="7F7F7F"/>
        <w:sz w:val="16"/>
        <w:szCs w:val="16"/>
      </w:rPr>
      <w:instrText xml:space="preserve"> PAGE </w:instrText>
    </w:r>
    <w:r w:rsidR="007F44DB" w:rsidRPr="007F44DB">
      <w:rPr>
        <w:i/>
        <w:iCs/>
        <w:color w:val="7F7F7F"/>
        <w:sz w:val="16"/>
        <w:szCs w:val="16"/>
      </w:rPr>
      <w:fldChar w:fldCharType="separate"/>
    </w:r>
    <w:r w:rsidR="007F44DB" w:rsidRPr="007F44DB">
      <w:rPr>
        <w:i/>
        <w:iCs/>
        <w:color w:val="7F7F7F"/>
        <w:sz w:val="16"/>
        <w:szCs w:val="16"/>
      </w:rPr>
      <w:t>1</w:t>
    </w:r>
    <w:r w:rsidR="007F44DB" w:rsidRPr="007F44DB">
      <w:rPr>
        <w:i/>
        <w:iCs/>
        <w:color w:val="7F7F7F"/>
        <w:sz w:val="16"/>
        <w:szCs w:val="16"/>
      </w:rPr>
      <w:fldChar w:fldCharType="end"/>
    </w:r>
  </w:p>
  <w:p w14:paraId="75EA3169" w14:textId="0DC83473" w:rsidR="007F44DB" w:rsidRPr="007F44DB" w:rsidRDefault="7325C575" w:rsidP="7325C575">
    <w:pPr>
      <w:widowControl w:val="0"/>
      <w:autoSpaceDE w:val="0"/>
      <w:autoSpaceDN w:val="0"/>
      <w:adjustRightInd w:val="0"/>
      <w:spacing w:after="0" w:line="158" w:lineRule="exact"/>
      <w:ind w:right="360"/>
      <w:rPr>
        <w:i/>
        <w:iCs/>
        <w:color w:val="7F7F7F"/>
        <w:sz w:val="16"/>
        <w:szCs w:val="16"/>
      </w:rPr>
    </w:pPr>
    <w:r w:rsidRPr="7325C575">
      <w:rPr>
        <w:i/>
        <w:iCs/>
        <w:color w:val="7F7F7F" w:themeColor="text1" w:themeTint="80"/>
        <w:sz w:val="16"/>
        <w:szCs w:val="16"/>
      </w:rPr>
      <w:t xml:space="preserve">Proceedings of the 12th Australian Stream Management Conference, 6-9 </w:t>
    </w:r>
    <w:proofErr w:type="gramStart"/>
    <w:r w:rsidRPr="7325C575">
      <w:rPr>
        <w:i/>
        <w:iCs/>
        <w:color w:val="7F7F7F" w:themeColor="text1" w:themeTint="80"/>
        <w:sz w:val="16"/>
        <w:szCs w:val="16"/>
      </w:rPr>
      <w:t>Sep,</w:t>
    </w:r>
    <w:proofErr w:type="gramEnd"/>
    <w:r w:rsidRPr="7325C575">
      <w:rPr>
        <w:i/>
        <w:iCs/>
        <w:color w:val="7F7F7F" w:themeColor="text1" w:themeTint="80"/>
        <w:sz w:val="16"/>
        <w:szCs w:val="16"/>
      </w:rPr>
      <w:t xml:space="preserve"> 2026. Kingscliff, NSW.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356CCDEE" w:rsidR="00001EED" w:rsidRDefault="00663DE3" w:rsidP="00001EED">
    <w:pPr>
      <w:widowControl w:val="0"/>
      <w:tabs>
        <w:tab w:val="left" w:pos="9240"/>
      </w:tabs>
      <w:autoSpaceDE w:val="0"/>
      <w:autoSpaceDN w:val="0"/>
      <w:adjustRightInd w:val="0"/>
      <w:spacing w:before="33" w:after="0" w:line="225" w:lineRule="exact"/>
      <w:rPr>
        <w:i/>
        <w:iCs/>
        <w:color w:val="7F7F7F"/>
        <w:position w:val="2"/>
        <w:sz w:val="16"/>
        <w:szCs w:val="16"/>
      </w:rPr>
    </w:pPr>
    <w:r>
      <w:rPr>
        <w:i/>
        <w:iCs/>
        <w:noProof/>
        <w:color w:val="7F7F7F"/>
        <w:position w:val="2"/>
        <w:sz w:val="16"/>
        <w:szCs w:val="16"/>
      </w:rPr>
      <mc:AlternateContent>
        <mc:Choice Requires="wps">
          <w:drawing>
            <wp:anchor distT="0" distB="0" distL="0" distR="0" simplePos="0" relativeHeight="251658240" behindDoc="0" locked="0" layoutInCell="1" allowOverlap="1" wp14:anchorId="2A24F8F5" wp14:editId="51551C10">
              <wp:simplePos x="635" y="635"/>
              <wp:positionH relativeFrom="page">
                <wp:align>center</wp:align>
              </wp:positionH>
              <wp:positionV relativeFrom="page">
                <wp:align>bottom</wp:align>
              </wp:positionV>
              <wp:extent cx="637540" cy="376555"/>
              <wp:effectExtent l="0" t="0" r="10160" b="0"/>
              <wp:wrapNone/>
              <wp:docPr id="1005367669"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31F72A58" w14:textId="72204A28"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24F8F5" id="_x0000_t202" coordsize="21600,21600" o:spt="202" path="m,l,21600r21600,l21600,xe">
              <v:stroke joinstyle="miter"/>
              <v:path gradientshapeok="t" o:connecttype="rect"/>
            </v:shapetype>
            <v:shape id="Text Box 1" o:spid="_x0000_s1028" type="#_x0000_t202" alt="Unofficial" style="position:absolute;margin-left:0;margin-top:0;width:50.2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" filled="f" stroked="f">
              <v:textbox style="mso-fit-shape-to-text:t" inset="0,0,0,15pt">
                <w:txbxContent>
                  <w:p w14:paraId="31F72A58" w14:textId="72204A28"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p>
  <w:p w14:paraId="205A0E4A" w14:textId="77777777" w:rsidR="00001EED" w:rsidRDefault="00001EED" w:rsidP="00001EED">
    <w:pPr>
      <w:widowControl w:val="0"/>
      <w:tabs>
        <w:tab w:val="left" w:pos="9240"/>
      </w:tabs>
      <w:autoSpaceDE w:val="0"/>
      <w:autoSpaceDN w:val="0"/>
      <w:adjustRightInd w:val="0"/>
      <w:spacing w:before="33" w:after="0" w:line="225" w:lineRule="exact"/>
      <w:rPr>
        <w:color w:val="000000"/>
        <w:sz w:val="20"/>
        <w:szCs w:val="20"/>
      </w:rPr>
    </w:pPr>
    <w:r>
      <w:rPr>
        <w:i/>
        <w:iCs/>
        <w:color w:val="7F7F7F"/>
        <w:position w:val="2"/>
        <w:sz w:val="16"/>
        <w:szCs w:val="16"/>
      </w:rPr>
      <w:t>Authors Names. (2014). Paper title, in Editors Names, Proceedings of the 7th Australian Stream</w:t>
    </w:r>
    <w:r>
      <w:rPr>
        <w:i/>
        <w:iCs/>
        <w:color w:val="7F7F7F"/>
        <w:position w:val="2"/>
        <w:sz w:val="16"/>
        <w:szCs w:val="16"/>
      </w:rPr>
      <w:tab/>
    </w:r>
    <w:r>
      <w:rPr>
        <w:rStyle w:val="PageNumber"/>
      </w:rPr>
      <w:fldChar w:fldCharType="begin"/>
    </w:r>
    <w:r>
      <w:rPr>
        <w:rStyle w:val="PageNumber"/>
      </w:rPr>
      <w:instrText xml:space="preserve"> PAGE </w:instrText>
    </w:r>
    <w:r>
      <w:rPr>
        <w:rStyle w:val="PageNumber"/>
      </w:rPr>
      <w:fldChar w:fldCharType="separate"/>
    </w:r>
    <w:r w:rsidR="002A0FDD">
      <w:rPr>
        <w:rStyle w:val="PageNumber"/>
        <w:noProof/>
      </w:rPr>
      <w:t>1</w:t>
    </w:r>
    <w:r>
      <w:rPr>
        <w:rStyle w:val="PageNumber"/>
      </w:rPr>
      <w:fldChar w:fldCharType="end"/>
    </w:r>
  </w:p>
  <w:p w14:paraId="0AA402A8" w14:textId="77777777" w:rsidR="00001EED" w:rsidRDefault="00001EED" w:rsidP="00001EED">
    <w:pPr>
      <w:widowControl w:val="0"/>
      <w:autoSpaceDE w:val="0"/>
      <w:autoSpaceDN w:val="0"/>
      <w:adjustRightInd w:val="0"/>
      <w:spacing w:after="0" w:line="158" w:lineRule="exact"/>
      <w:rPr>
        <w:color w:val="000000"/>
        <w:sz w:val="16"/>
        <w:szCs w:val="16"/>
      </w:rPr>
    </w:pPr>
    <w:r>
      <w:rPr>
        <w:i/>
        <w:iCs/>
        <w:color w:val="7F7F7F"/>
        <w:sz w:val="16"/>
        <w:szCs w:val="16"/>
      </w:rPr>
      <w:t>Management</w:t>
    </w:r>
    <w:r>
      <w:rPr>
        <w:i/>
        <w:iCs/>
        <w:color w:val="7F7F7F"/>
        <w:spacing w:val="10"/>
        <w:sz w:val="16"/>
        <w:szCs w:val="16"/>
      </w:rPr>
      <w:t xml:space="preserve"> </w:t>
    </w:r>
    <w:r>
      <w:rPr>
        <w:i/>
        <w:iCs/>
        <w:color w:val="7F7F7F"/>
        <w:sz w:val="16"/>
        <w:szCs w:val="16"/>
      </w:rPr>
      <w:t xml:space="preserve">Conference. Townsville, Queensland, </w:t>
    </w:r>
    <w:proofErr w:type="gramStart"/>
    <w:r>
      <w:rPr>
        <w:i/>
        <w:iCs/>
        <w:color w:val="7F7F7F"/>
        <w:sz w:val="16"/>
        <w:szCs w:val="16"/>
      </w:rPr>
      <w:t>Pages  XXX</w:t>
    </w:r>
    <w:proofErr w:type="gramEnd"/>
    <w:r>
      <w:rPr>
        <w:i/>
        <w:iCs/>
        <w:color w:val="7F7F7F"/>
        <w:sz w:val="16"/>
        <w:szCs w:val="16"/>
      </w:rPr>
      <w:t xml:space="preserve"> - XXX.</w:t>
    </w:r>
  </w:p>
  <w:p w14:paraId="6DFB9E20" w14:textId="77777777" w:rsidR="00001EED" w:rsidRDefault="00001EED" w:rsidP="00001EED">
    <w:pPr>
      <w:pStyle w:val="Footer"/>
    </w:pPr>
  </w:p>
  <w:p w14:paraId="70DF9E56" w14:textId="77777777" w:rsidR="00001EED" w:rsidRDefault="0000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80298" w14:textId="77777777" w:rsidR="00B36869" w:rsidRDefault="00B36869">
      <w:r>
        <w:separator/>
      </w:r>
    </w:p>
  </w:footnote>
  <w:footnote w:type="continuationSeparator" w:id="0">
    <w:p w14:paraId="7458A094" w14:textId="77777777" w:rsidR="00B36869" w:rsidRDefault="00B36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5477" w14:textId="4845F31C" w:rsidR="00242D9B" w:rsidRPr="00242D9B" w:rsidRDefault="7325C575" w:rsidP="7325C575">
    <w:pPr>
      <w:pStyle w:val="Header"/>
      <w:rPr>
        <w:b/>
        <w:bCs/>
        <w:i/>
        <w:iCs/>
      </w:rPr>
    </w:pPr>
    <w:r w:rsidRPr="7325C575">
      <w:rPr>
        <w:b/>
        <w:bCs/>
        <w:i/>
        <w:iCs/>
      </w:rPr>
      <w:t>12ASM Full Paper</w:t>
    </w:r>
  </w:p>
  <w:p w14:paraId="1237BA72" w14:textId="690C12E8" w:rsidR="001069E0" w:rsidRPr="00197AC9" w:rsidRDefault="00767182">
    <w:pPr>
      <w:pStyle w:val="Header"/>
      <w:rPr>
        <w:i/>
      </w:rPr>
    </w:pPr>
    <w:r>
      <w:rPr>
        <w:i/>
      </w:rPr>
      <w:t>Flook, Ivezich, Rutherfurd and Burton</w:t>
    </w:r>
    <w:r w:rsidR="00F577D9">
      <w:rPr>
        <w:i/>
      </w:rPr>
      <w:t xml:space="preserve"> – </w:t>
    </w:r>
    <w:r w:rsidR="00FA1FB6">
      <w:rPr>
        <w:i/>
      </w:rPr>
      <w:t>Apply</w:t>
    </w:r>
    <w:r w:rsidR="0084024B">
      <w:rPr>
        <w:i/>
      </w:rPr>
      <w:t>ing</w:t>
    </w:r>
    <w:r w:rsidR="00FA1FB6">
      <w:rPr>
        <w:i/>
      </w:rPr>
      <w:t xml:space="preserve"> geomorphic insights to Natural Flood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F3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6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6022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02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C000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B62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19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478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A91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88E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8E4"/>
    <w:multiLevelType w:val="hybridMultilevel"/>
    <w:tmpl w:val="51BE40A4"/>
    <w:lvl w:ilvl="0" w:tplc="0C090001">
      <w:start w:val="1"/>
      <w:numFmt w:val="bullet"/>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11" w15:restartNumberingAfterBreak="0">
    <w:nsid w:val="03021ADD"/>
    <w:multiLevelType w:val="hybridMultilevel"/>
    <w:tmpl w:val="748454B2"/>
    <w:lvl w:ilvl="0" w:tplc="0C090001">
      <w:start w:val="1"/>
      <w:numFmt w:val="bullet"/>
      <w:lvlText w:val=""/>
      <w:lvlJc w:val="left"/>
      <w:pPr>
        <w:tabs>
          <w:tab w:val="num" w:pos="1308"/>
        </w:tabs>
        <w:ind w:left="1308" w:hanging="360"/>
      </w:pPr>
      <w:rPr>
        <w:rFonts w:ascii="Symbol" w:hAnsi="Symbol" w:hint="default"/>
      </w:rPr>
    </w:lvl>
    <w:lvl w:ilvl="1" w:tplc="0C090003" w:tentative="1">
      <w:start w:val="1"/>
      <w:numFmt w:val="bullet"/>
      <w:lvlText w:val="o"/>
      <w:lvlJc w:val="left"/>
      <w:pPr>
        <w:tabs>
          <w:tab w:val="num" w:pos="1914"/>
        </w:tabs>
        <w:ind w:left="1914" w:hanging="360"/>
      </w:pPr>
      <w:rPr>
        <w:rFonts w:ascii="Courier New" w:hAnsi="Courier New" w:cs="Courier New" w:hint="default"/>
      </w:rPr>
    </w:lvl>
    <w:lvl w:ilvl="2" w:tplc="0C090005" w:tentative="1">
      <w:start w:val="1"/>
      <w:numFmt w:val="bullet"/>
      <w:lvlText w:val=""/>
      <w:lvlJc w:val="left"/>
      <w:pPr>
        <w:tabs>
          <w:tab w:val="num" w:pos="2634"/>
        </w:tabs>
        <w:ind w:left="2634" w:hanging="360"/>
      </w:pPr>
      <w:rPr>
        <w:rFonts w:ascii="Wingdings" w:hAnsi="Wingdings" w:hint="default"/>
      </w:rPr>
    </w:lvl>
    <w:lvl w:ilvl="3" w:tplc="0C090001" w:tentative="1">
      <w:start w:val="1"/>
      <w:numFmt w:val="bullet"/>
      <w:lvlText w:val=""/>
      <w:lvlJc w:val="left"/>
      <w:pPr>
        <w:tabs>
          <w:tab w:val="num" w:pos="3354"/>
        </w:tabs>
        <w:ind w:left="3354" w:hanging="360"/>
      </w:pPr>
      <w:rPr>
        <w:rFonts w:ascii="Symbol" w:hAnsi="Symbol" w:hint="default"/>
      </w:rPr>
    </w:lvl>
    <w:lvl w:ilvl="4" w:tplc="0C090003" w:tentative="1">
      <w:start w:val="1"/>
      <w:numFmt w:val="bullet"/>
      <w:lvlText w:val="o"/>
      <w:lvlJc w:val="left"/>
      <w:pPr>
        <w:tabs>
          <w:tab w:val="num" w:pos="4074"/>
        </w:tabs>
        <w:ind w:left="4074" w:hanging="360"/>
      </w:pPr>
      <w:rPr>
        <w:rFonts w:ascii="Courier New" w:hAnsi="Courier New" w:cs="Courier New" w:hint="default"/>
      </w:rPr>
    </w:lvl>
    <w:lvl w:ilvl="5" w:tplc="0C090005" w:tentative="1">
      <w:start w:val="1"/>
      <w:numFmt w:val="bullet"/>
      <w:lvlText w:val=""/>
      <w:lvlJc w:val="left"/>
      <w:pPr>
        <w:tabs>
          <w:tab w:val="num" w:pos="4794"/>
        </w:tabs>
        <w:ind w:left="4794" w:hanging="360"/>
      </w:pPr>
      <w:rPr>
        <w:rFonts w:ascii="Wingdings" w:hAnsi="Wingdings" w:hint="default"/>
      </w:rPr>
    </w:lvl>
    <w:lvl w:ilvl="6" w:tplc="0C090001" w:tentative="1">
      <w:start w:val="1"/>
      <w:numFmt w:val="bullet"/>
      <w:lvlText w:val=""/>
      <w:lvlJc w:val="left"/>
      <w:pPr>
        <w:tabs>
          <w:tab w:val="num" w:pos="5514"/>
        </w:tabs>
        <w:ind w:left="5514" w:hanging="360"/>
      </w:pPr>
      <w:rPr>
        <w:rFonts w:ascii="Symbol" w:hAnsi="Symbol" w:hint="default"/>
      </w:rPr>
    </w:lvl>
    <w:lvl w:ilvl="7" w:tplc="0C090003" w:tentative="1">
      <w:start w:val="1"/>
      <w:numFmt w:val="bullet"/>
      <w:lvlText w:val="o"/>
      <w:lvlJc w:val="left"/>
      <w:pPr>
        <w:tabs>
          <w:tab w:val="num" w:pos="6234"/>
        </w:tabs>
        <w:ind w:left="6234" w:hanging="360"/>
      </w:pPr>
      <w:rPr>
        <w:rFonts w:ascii="Courier New" w:hAnsi="Courier New" w:cs="Courier New" w:hint="default"/>
      </w:rPr>
    </w:lvl>
    <w:lvl w:ilvl="8" w:tplc="0C090005" w:tentative="1">
      <w:start w:val="1"/>
      <w:numFmt w:val="bullet"/>
      <w:lvlText w:val=""/>
      <w:lvlJc w:val="left"/>
      <w:pPr>
        <w:tabs>
          <w:tab w:val="num" w:pos="6954"/>
        </w:tabs>
        <w:ind w:left="6954" w:hanging="360"/>
      </w:pPr>
      <w:rPr>
        <w:rFonts w:ascii="Wingdings" w:hAnsi="Wingdings" w:hint="default"/>
      </w:rPr>
    </w:lvl>
  </w:abstractNum>
  <w:abstractNum w:abstractNumId="12" w15:restartNumberingAfterBreak="0">
    <w:nsid w:val="13833A7C"/>
    <w:multiLevelType w:val="hybridMultilevel"/>
    <w:tmpl w:val="BAA4B3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0011B9"/>
    <w:multiLevelType w:val="hybridMultilevel"/>
    <w:tmpl w:val="3E500C8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B94200"/>
    <w:multiLevelType w:val="hybridMultilevel"/>
    <w:tmpl w:val="000043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D14BEA"/>
    <w:multiLevelType w:val="hybridMultilevel"/>
    <w:tmpl w:val="C5F603F4"/>
    <w:lvl w:ilvl="0" w:tplc="3E6C18C0">
      <w:start w:val="1"/>
      <w:numFmt w:val="lowerLetter"/>
      <w:lvlText w:val="%1)"/>
      <w:lvlJc w:val="left"/>
      <w:pPr>
        <w:ind w:left="1080" w:hanging="360"/>
      </w:pPr>
      <w:rPr>
        <w:rFonts w:ascii="Calibri" w:hAnsi="Calibri" w:cstheme="minorBidi" w:hint="default"/>
        <w:sz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7156BBB"/>
    <w:multiLevelType w:val="hybridMultilevel"/>
    <w:tmpl w:val="09FA2D1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EE1EB3"/>
    <w:multiLevelType w:val="hybridMultilevel"/>
    <w:tmpl w:val="C9766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407B0A"/>
    <w:multiLevelType w:val="hybridMultilevel"/>
    <w:tmpl w:val="B8E019A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F1666B"/>
    <w:multiLevelType w:val="hybridMultilevel"/>
    <w:tmpl w:val="CD8AC930"/>
    <w:lvl w:ilvl="0" w:tplc="0C09000F">
      <w:start w:val="1"/>
      <w:numFmt w:val="decimal"/>
      <w:lvlText w:val="%1."/>
      <w:lvlJc w:val="left"/>
      <w:pPr>
        <w:tabs>
          <w:tab w:val="num" w:pos="834"/>
        </w:tabs>
        <w:ind w:left="834" w:hanging="360"/>
      </w:pPr>
    </w:lvl>
    <w:lvl w:ilvl="1" w:tplc="0C090019" w:tentative="1">
      <w:start w:val="1"/>
      <w:numFmt w:val="lowerLetter"/>
      <w:lvlText w:val="%2."/>
      <w:lvlJc w:val="left"/>
      <w:pPr>
        <w:tabs>
          <w:tab w:val="num" w:pos="1554"/>
        </w:tabs>
        <w:ind w:left="1554" w:hanging="360"/>
      </w:pPr>
    </w:lvl>
    <w:lvl w:ilvl="2" w:tplc="0C09001B" w:tentative="1">
      <w:start w:val="1"/>
      <w:numFmt w:val="lowerRoman"/>
      <w:lvlText w:val="%3."/>
      <w:lvlJc w:val="right"/>
      <w:pPr>
        <w:tabs>
          <w:tab w:val="num" w:pos="2274"/>
        </w:tabs>
        <w:ind w:left="2274" w:hanging="180"/>
      </w:pPr>
    </w:lvl>
    <w:lvl w:ilvl="3" w:tplc="0C09000F" w:tentative="1">
      <w:start w:val="1"/>
      <w:numFmt w:val="decimal"/>
      <w:lvlText w:val="%4."/>
      <w:lvlJc w:val="left"/>
      <w:pPr>
        <w:tabs>
          <w:tab w:val="num" w:pos="2994"/>
        </w:tabs>
        <w:ind w:left="2994" w:hanging="360"/>
      </w:pPr>
    </w:lvl>
    <w:lvl w:ilvl="4" w:tplc="0C090019" w:tentative="1">
      <w:start w:val="1"/>
      <w:numFmt w:val="lowerLetter"/>
      <w:lvlText w:val="%5."/>
      <w:lvlJc w:val="left"/>
      <w:pPr>
        <w:tabs>
          <w:tab w:val="num" w:pos="3714"/>
        </w:tabs>
        <w:ind w:left="3714" w:hanging="360"/>
      </w:pPr>
    </w:lvl>
    <w:lvl w:ilvl="5" w:tplc="0C09001B" w:tentative="1">
      <w:start w:val="1"/>
      <w:numFmt w:val="lowerRoman"/>
      <w:lvlText w:val="%6."/>
      <w:lvlJc w:val="right"/>
      <w:pPr>
        <w:tabs>
          <w:tab w:val="num" w:pos="4434"/>
        </w:tabs>
        <w:ind w:left="4434" w:hanging="180"/>
      </w:pPr>
    </w:lvl>
    <w:lvl w:ilvl="6" w:tplc="0C09000F" w:tentative="1">
      <w:start w:val="1"/>
      <w:numFmt w:val="decimal"/>
      <w:lvlText w:val="%7."/>
      <w:lvlJc w:val="left"/>
      <w:pPr>
        <w:tabs>
          <w:tab w:val="num" w:pos="5154"/>
        </w:tabs>
        <w:ind w:left="5154" w:hanging="360"/>
      </w:pPr>
    </w:lvl>
    <w:lvl w:ilvl="7" w:tplc="0C090019" w:tentative="1">
      <w:start w:val="1"/>
      <w:numFmt w:val="lowerLetter"/>
      <w:lvlText w:val="%8."/>
      <w:lvlJc w:val="left"/>
      <w:pPr>
        <w:tabs>
          <w:tab w:val="num" w:pos="5874"/>
        </w:tabs>
        <w:ind w:left="5874" w:hanging="360"/>
      </w:pPr>
    </w:lvl>
    <w:lvl w:ilvl="8" w:tplc="0C09001B" w:tentative="1">
      <w:start w:val="1"/>
      <w:numFmt w:val="lowerRoman"/>
      <w:lvlText w:val="%9."/>
      <w:lvlJc w:val="right"/>
      <w:pPr>
        <w:tabs>
          <w:tab w:val="num" w:pos="6594"/>
        </w:tabs>
        <w:ind w:left="6594" w:hanging="180"/>
      </w:pPr>
    </w:lvl>
  </w:abstractNum>
  <w:abstractNum w:abstractNumId="20" w15:restartNumberingAfterBreak="0">
    <w:nsid w:val="4AB1300E"/>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D587F6F"/>
    <w:multiLevelType w:val="hybridMultilevel"/>
    <w:tmpl w:val="4796A7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2" w15:restartNumberingAfterBreak="0">
    <w:nsid w:val="508D7534"/>
    <w:multiLevelType w:val="hybridMultilevel"/>
    <w:tmpl w:val="000043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2B3144"/>
    <w:multiLevelType w:val="hybridMultilevel"/>
    <w:tmpl w:val="865AC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862C7A"/>
    <w:multiLevelType w:val="hybridMultilevel"/>
    <w:tmpl w:val="FB56D7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F20326"/>
    <w:multiLevelType w:val="hybridMultilevel"/>
    <w:tmpl w:val="3228A5DC"/>
    <w:lvl w:ilvl="0" w:tplc="F86CDBC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69607A"/>
    <w:multiLevelType w:val="hybridMultilevel"/>
    <w:tmpl w:val="C62061B6"/>
    <w:lvl w:ilvl="0" w:tplc="09AC4D94">
      <w:start w:val="1"/>
      <w:numFmt w:val="bullet"/>
      <w:lvlText w:val=""/>
      <w:lvlJc w:val="left"/>
      <w:pPr>
        <w:ind w:left="1440" w:hanging="360"/>
      </w:pPr>
      <w:rPr>
        <w:rFonts w:ascii="Symbol" w:hAnsi="Symbol"/>
      </w:rPr>
    </w:lvl>
    <w:lvl w:ilvl="1" w:tplc="99B8BB3C">
      <w:start w:val="1"/>
      <w:numFmt w:val="bullet"/>
      <w:lvlText w:val=""/>
      <w:lvlJc w:val="left"/>
      <w:pPr>
        <w:ind w:left="1440" w:hanging="360"/>
      </w:pPr>
      <w:rPr>
        <w:rFonts w:ascii="Symbol" w:hAnsi="Symbol"/>
      </w:rPr>
    </w:lvl>
    <w:lvl w:ilvl="2" w:tplc="81C4E4E2">
      <w:start w:val="1"/>
      <w:numFmt w:val="bullet"/>
      <w:lvlText w:val=""/>
      <w:lvlJc w:val="left"/>
      <w:pPr>
        <w:ind w:left="1440" w:hanging="360"/>
      </w:pPr>
      <w:rPr>
        <w:rFonts w:ascii="Symbol" w:hAnsi="Symbol"/>
      </w:rPr>
    </w:lvl>
    <w:lvl w:ilvl="3" w:tplc="5D2236EA">
      <w:start w:val="1"/>
      <w:numFmt w:val="bullet"/>
      <w:lvlText w:val=""/>
      <w:lvlJc w:val="left"/>
      <w:pPr>
        <w:ind w:left="1440" w:hanging="360"/>
      </w:pPr>
      <w:rPr>
        <w:rFonts w:ascii="Symbol" w:hAnsi="Symbol"/>
      </w:rPr>
    </w:lvl>
    <w:lvl w:ilvl="4" w:tplc="2CB80B6E">
      <w:start w:val="1"/>
      <w:numFmt w:val="bullet"/>
      <w:lvlText w:val=""/>
      <w:lvlJc w:val="left"/>
      <w:pPr>
        <w:ind w:left="1440" w:hanging="360"/>
      </w:pPr>
      <w:rPr>
        <w:rFonts w:ascii="Symbol" w:hAnsi="Symbol"/>
      </w:rPr>
    </w:lvl>
    <w:lvl w:ilvl="5" w:tplc="E528ECBC">
      <w:start w:val="1"/>
      <w:numFmt w:val="bullet"/>
      <w:lvlText w:val=""/>
      <w:lvlJc w:val="left"/>
      <w:pPr>
        <w:ind w:left="1440" w:hanging="360"/>
      </w:pPr>
      <w:rPr>
        <w:rFonts w:ascii="Symbol" w:hAnsi="Symbol"/>
      </w:rPr>
    </w:lvl>
    <w:lvl w:ilvl="6" w:tplc="92600BDC">
      <w:start w:val="1"/>
      <w:numFmt w:val="bullet"/>
      <w:lvlText w:val=""/>
      <w:lvlJc w:val="left"/>
      <w:pPr>
        <w:ind w:left="1440" w:hanging="360"/>
      </w:pPr>
      <w:rPr>
        <w:rFonts w:ascii="Symbol" w:hAnsi="Symbol"/>
      </w:rPr>
    </w:lvl>
    <w:lvl w:ilvl="7" w:tplc="48205150">
      <w:start w:val="1"/>
      <w:numFmt w:val="bullet"/>
      <w:lvlText w:val=""/>
      <w:lvlJc w:val="left"/>
      <w:pPr>
        <w:ind w:left="1440" w:hanging="360"/>
      </w:pPr>
      <w:rPr>
        <w:rFonts w:ascii="Symbol" w:hAnsi="Symbol"/>
      </w:rPr>
    </w:lvl>
    <w:lvl w:ilvl="8" w:tplc="E2DEF42E">
      <w:start w:val="1"/>
      <w:numFmt w:val="bullet"/>
      <w:lvlText w:val=""/>
      <w:lvlJc w:val="left"/>
      <w:pPr>
        <w:ind w:left="1440" w:hanging="360"/>
      </w:pPr>
      <w:rPr>
        <w:rFonts w:ascii="Symbol" w:hAnsi="Symbol"/>
      </w:rPr>
    </w:lvl>
  </w:abstractNum>
  <w:abstractNum w:abstractNumId="27" w15:restartNumberingAfterBreak="0">
    <w:nsid w:val="66267E2E"/>
    <w:multiLevelType w:val="hybridMultilevel"/>
    <w:tmpl w:val="472E3D92"/>
    <w:lvl w:ilvl="0" w:tplc="66DEF316">
      <w:start w:val="1"/>
      <w:numFmt w:val="bullet"/>
      <w:pStyle w:val="bullets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9A19DB"/>
    <w:multiLevelType w:val="hybridMultilevel"/>
    <w:tmpl w:val="22BC1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7B6E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B42BA5"/>
    <w:multiLevelType w:val="hybridMultilevel"/>
    <w:tmpl w:val="36E208BE"/>
    <w:lvl w:ilvl="0" w:tplc="661E0AD4">
      <w:start w:val="1"/>
      <w:numFmt w:val="bullet"/>
      <w:pStyle w:val="dotpointsinbox"/>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31" w15:restartNumberingAfterBreak="0">
    <w:nsid w:val="70DD2807"/>
    <w:multiLevelType w:val="hybridMultilevel"/>
    <w:tmpl w:val="B1F816DC"/>
    <w:lvl w:ilvl="0" w:tplc="0C090001">
      <w:start w:val="1"/>
      <w:numFmt w:val="bullet"/>
      <w:lvlText w:val=""/>
      <w:lvlJc w:val="left"/>
      <w:pPr>
        <w:ind w:left="1194" w:hanging="360"/>
      </w:pPr>
      <w:rPr>
        <w:rFonts w:ascii="Symbol" w:hAnsi="Symbol" w:hint="default"/>
      </w:rPr>
    </w:lvl>
    <w:lvl w:ilvl="1" w:tplc="0C090003" w:tentative="1">
      <w:start w:val="1"/>
      <w:numFmt w:val="bullet"/>
      <w:lvlText w:val="o"/>
      <w:lvlJc w:val="left"/>
      <w:pPr>
        <w:ind w:left="1914" w:hanging="360"/>
      </w:pPr>
      <w:rPr>
        <w:rFonts w:ascii="Courier New" w:hAnsi="Courier New" w:cs="Courier New" w:hint="default"/>
      </w:rPr>
    </w:lvl>
    <w:lvl w:ilvl="2" w:tplc="0C090005" w:tentative="1">
      <w:start w:val="1"/>
      <w:numFmt w:val="bullet"/>
      <w:lvlText w:val=""/>
      <w:lvlJc w:val="left"/>
      <w:pPr>
        <w:ind w:left="2634" w:hanging="360"/>
      </w:pPr>
      <w:rPr>
        <w:rFonts w:ascii="Wingdings" w:hAnsi="Wingdings" w:hint="default"/>
      </w:rPr>
    </w:lvl>
    <w:lvl w:ilvl="3" w:tplc="0C090001" w:tentative="1">
      <w:start w:val="1"/>
      <w:numFmt w:val="bullet"/>
      <w:lvlText w:val=""/>
      <w:lvlJc w:val="left"/>
      <w:pPr>
        <w:ind w:left="3354" w:hanging="360"/>
      </w:pPr>
      <w:rPr>
        <w:rFonts w:ascii="Symbol" w:hAnsi="Symbol" w:hint="default"/>
      </w:rPr>
    </w:lvl>
    <w:lvl w:ilvl="4" w:tplc="0C090003" w:tentative="1">
      <w:start w:val="1"/>
      <w:numFmt w:val="bullet"/>
      <w:lvlText w:val="o"/>
      <w:lvlJc w:val="left"/>
      <w:pPr>
        <w:ind w:left="4074" w:hanging="360"/>
      </w:pPr>
      <w:rPr>
        <w:rFonts w:ascii="Courier New" w:hAnsi="Courier New" w:cs="Courier New" w:hint="default"/>
      </w:rPr>
    </w:lvl>
    <w:lvl w:ilvl="5" w:tplc="0C090005" w:tentative="1">
      <w:start w:val="1"/>
      <w:numFmt w:val="bullet"/>
      <w:lvlText w:val=""/>
      <w:lvlJc w:val="left"/>
      <w:pPr>
        <w:ind w:left="4794" w:hanging="360"/>
      </w:pPr>
      <w:rPr>
        <w:rFonts w:ascii="Wingdings" w:hAnsi="Wingdings" w:hint="default"/>
      </w:rPr>
    </w:lvl>
    <w:lvl w:ilvl="6" w:tplc="0C090001" w:tentative="1">
      <w:start w:val="1"/>
      <w:numFmt w:val="bullet"/>
      <w:lvlText w:val=""/>
      <w:lvlJc w:val="left"/>
      <w:pPr>
        <w:ind w:left="5514" w:hanging="360"/>
      </w:pPr>
      <w:rPr>
        <w:rFonts w:ascii="Symbol" w:hAnsi="Symbol" w:hint="default"/>
      </w:rPr>
    </w:lvl>
    <w:lvl w:ilvl="7" w:tplc="0C090003" w:tentative="1">
      <w:start w:val="1"/>
      <w:numFmt w:val="bullet"/>
      <w:lvlText w:val="o"/>
      <w:lvlJc w:val="left"/>
      <w:pPr>
        <w:ind w:left="6234" w:hanging="360"/>
      </w:pPr>
      <w:rPr>
        <w:rFonts w:ascii="Courier New" w:hAnsi="Courier New" w:cs="Courier New" w:hint="default"/>
      </w:rPr>
    </w:lvl>
    <w:lvl w:ilvl="8" w:tplc="0C090005" w:tentative="1">
      <w:start w:val="1"/>
      <w:numFmt w:val="bullet"/>
      <w:lvlText w:val=""/>
      <w:lvlJc w:val="left"/>
      <w:pPr>
        <w:ind w:left="6954" w:hanging="360"/>
      </w:pPr>
      <w:rPr>
        <w:rFonts w:ascii="Wingdings" w:hAnsi="Wingdings" w:hint="default"/>
      </w:rPr>
    </w:lvl>
  </w:abstractNum>
  <w:abstractNum w:abstractNumId="32" w15:restartNumberingAfterBreak="0">
    <w:nsid w:val="71CC626F"/>
    <w:multiLevelType w:val="hybridMultilevel"/>
    <w:tmpl w:val="000043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8A751F"/>
    <w:multiLevelType w:val="hybridMultilevel"/>
    <w:tmpl w:val="800479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FE11C1"/>
    <w:multiLevelType w:val="hybridMultilevel"/>
    <w:tmpl w:val="A2540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3E35C0"/>
    <w:multiLevelType w:val="hybridMultilevel"/>
    <w:tmpl w:val="71C89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F84CBF"/>
    <w:multiLevelType w:val="hybridMultilevel"/>
    <w:tmpl w:val="E8B2B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3814307">
    <w:abstractNumId w:val="12"/>
  </w:num>
  <w:num w:numId="2" w16cid:durableId="466358574">
    <w:abstractNumId w:val="24"/>
  </w:num>
  <w:num w:numId="3" w16cid:durableId="1142040399">
    <w:abstractNumId w:val="19"/>
  </w:num>
  <w:num w:numId="4" w16cid:durableId="821316447">
    <w:abstractNumId w:val="9"/>
  </w:num>
  <w:num w:numId="5" w16cid:durableId="1018774187">
    <w:abstractNumId w:val="7"/>
  </w:num>
  <w:num w:numId="6" w16cid:durableId="1497915001">
    <w:abstractNumId w:val="6"/>
  </w:num>
  <w:num w:numId="7" w16cid:durableId="2147233388">
    <w:abstractNumId w:val="5"/>
  </w:num>
  <w:num w:numId="8" w16cid:durableId="511771705">
    <w:abstractNumId w:val="4"/>
  </w:num>
  <w:num w:numId="9" w16cid:durableId="740758792">
    <w:abstractNumId w:val="8"/>
  </w:num>
  <w:num w:numId="10" w16cid:durableId="1990013021">
    <w:abstractNumId w:val="3"/>
  </w:num>
  <w:num w:numId="11" w16cid:durableId="711274632">
    <w:abstractNumId w:val="2"/>
  </w:num>
  <w:num w:numId="12" w16cid:durableId="267274795">
    <w:abstractNumId w:val="1"/>
  </w:num>
  <w:num w:numId="13" w16cid:durableId="549074660">
    <w:abstractNumId w:val="0"/>
  </w:num>
  <w:num w:numId="14" w16cid:durableId="1956865050">
    <w:abstractNumId w:val="10"/>
  </w:num>
  <w:num w:numId="15" w16cid:durableId="126551705">
    <w:abstractNumId w:val="30"/>
  </w:num>
  <w:num w:numId="16" w16cid:durableId="1086414253">
    <w:abstractNumId w:val="11"/>
  </w:num>
  <w:num w:numId="17" w16cid:durableId="1869561476">
    <w:abstractNumId w:val="20"/>
  </w:num>
  <w:num w:numId="18" w16cid:durableId="934823786">
    <w:abstractNumId w:val="27"/>
  </w:num>
  <w:num w:numId="19" w16cid:durableId="1214775814">
    <w:abstractNumId w:val="13"/>
  </w:num>
  <w:num w:numId="20" w16cid:durableId="1390223290">
    <w:abstractNumId w:val="23"/>
  </w:num>
  <w:num w:numId="21" w16cid:durableId="753237779">
    <w:abstractNumId w:val="17"/>
  </w:num>
  <w:num w:numId="22" w16cid:durableId="256911818">
    <w:abstractNumId w:val="34"/>
  </w:num>
  <w:num w:numId="23" w16cid:durableId="715393707">
    <w:abstractNumId w:val="25"/>
  </w:num>
  <w:num w:numId="24" w16cid:durableId="1906406177">
    <w:abstractNumId w:val="35"/>
  </w:num>
  <w:num w:numId="25" w16cid:durableId="1154251160">
    <w:abstractNumId w:val="14"/>
  </w:num>
  <w:num w:numId="26" w16cid:durableId="578564998">
    <w:abstractNumId w:val="22"/>
  </w:num>
  <w:num w:numId="27" w16cid:durableId="453184139">
    <w:abstractNumId w:val="32"/>
  </w:num>
  <w:num w:numId="28" w16cid:durableId="1777553274">
    <w:abstractNumId w:val="21"/>
  </w:num>
  <w:num w:numId="29" w16cid:durableId="1545410947">
    <w:abstractNumId w:val="18"/>
  </w:num>
  <w:num w:numId="30" w16cid:durableId="6251412">
    <w:abstractNumId w:val="28"/>
  </w:num>
  <w:num w:numId="31" w16cid:durableId="1187258432">
    <w:abstractNumId w:val="36"/>
  </w:num>
  <w:num w:numId="32" w16cid:durableId="938562788">
    <w:abstractNumId w:val="16"/>
  </w:num>
  <w:num w:numId="33" w16cid:durableId="1159152561">
    <w:abstractNumId w:val="29"/>
  </w:num>
  <w:num w:numId="34" w16cid:durableId="285282042">
    <w:abstractNumId w:val="26"/>
  </w:num>
  <w:num w:numId="35" w16cid:durableId="2001031825">
    <w:abstractNumId w:val="33"/>
  </w:num>
  <w:num w:numId="36" w16cid:durableId="416556718">
    <w:abstractNumId w:val="15"/>
  </w:num>
  <w:num w:numId="37" w16cid:durableId="16445828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8E"/>
    <w:rsid w:val="000002EE"/>
    <w:rsid w:val="00000826"/>
    <w:rsid w:val="00001EED"/>
    <w:rsid w:val="00002D49"/>
    <w:rsid w:val="00005652"/>
    <w:rsid w:val="00005A8E"/>
    <w:rsid w:val="00005F01"/>
    <w:rsid w:val="000063D0"/>
    <w:rsid w:val="0001008C"/>
    <w:rsid w:val="000117E4"/>
    <w:rsid w:val="00012672"/>
    <w:rsid w:val="00012BA1"/>
    <w:rsid w:val="00014677"/>
    <w:rsid w:val="00015B85"/>
    <w:rsid w:val="00015F31"/>
    <w:rsid w:val="0001643D"/>
    <w:rsid w:val="00016933"/>
    <w:rsid w:val="000215A6"/>
    <w:rsid w:val="0002543C"/>
    <w:rsid w:val="0002612C"/>
    <w:rsid w:val="0003078E"/>
    <w:rsid w:val="0003222F"/>
    <w:rsid w:val="000352A2"/>
    <w:rsid w:val="0003634E"/>
    <w:rsid w:val="000376E1"/>
    <w:rsid w:val="000413E4"/>
    <w:rsid w:val="0004334F"/>
    <w:rsid w:val="00044474"/>
    <w:rsid w:val="00044C3C"/>
    <w:rsid w:val="0004597F"/>
    <w:rsid w:val="000464E9"/>
    <w:rsid w:val="00052620"/>
    <w:rsid w:val="00053917"/>
    <w:rsid w:val="00056990"/>
    <w:rsid w:val="000612AA"/>
    <w:rsid w:val="00061374"/>
    <w:rsid w:val="00061EE7"/>
    <w:rsid w:val="00063EA5"/>
    <w:rsid w:val="00064D93"/>
    <w:rsid w:val="00065088"/>
    <w:rsid w:val="00067C04"/>
    <w:rsid w:val="00070622"/>
    <w:rsid w:val="00070D82"/>
    <w:rsid w:val="00070E96"/>
    <w:rsid w:val="00071A33"/>
    <w:rsid w:val="00071EDF"/>
    <w:rsid w:val="0007214F"/>
    <w:rsid w:val="00077AC2"/>
    <w:rsid w:val="000801A9"/>
    <w:rsid w:val="000803D2"/>
    <w:rsid w:val="00080726"/>
    <w:rsid w:val="00081D7A"/>
    <w:rsid w:val="0008200A"/>
    <w:rsid w:val="0008308B"/>
    <w:rsid w:val="00085CFC"/>
    <w:rsid w:val="000871F5"/>
    <w:rsid w:val="00090AE2"/>
    <w:rsid w:val="0009133B"/>
    <w:rsid w:val="0009334A"/>
    <w:rsid w:val="00093681"/>
    <w:rsid w:val="000939BB"/>
    <w:rsid w:val="00094A6E"/>
    <w:rsid w:val="00094B1C"/>
    <w:rsid w:val="00096734"/>
    <w:rsid w:val="000968FD"/>
    <w:rsid w:val="00097090"/>
    <w:rsid w:val="000970D2"/>
    <w:rsid w:val="000A18AD"/>
    <w:rsid w:val="000A38D6"/>
    <w:rsid w:val="000A42B7"/>
    <w:rsid w:val="000A4649"/>
    <w:rsid w:val="000A6FC8"/>
    <w:rsid w:val="000B028B"/>
    <w:rsid w:val="000B1E1A"/>
    <w:rsid w:val="000B468C"/>
    <w:rsid w:val="000B5090"/>
    <w:rsid w:val="000B5A3D"/>
    <w:rsid w:val="000B7003"/>
    <w:rsid w:val="000C2AD4"/>
    <w:rsid w:val="000C3695"/>
    <w:rsid w:val="000C50D8"/>
    <w:rsid w:val="000C5C68"/>
    <w:rsid w:val="000C699F"/>
    <w:rsid w:val="000C742D"/>
    <w:rsid w:val="000D1B54"/>
    <w:rsid w:val="000D3574"/>
    <w:rsid w:val="000D3FD3"/>
    <w:rsid w:val="000D4861"/>
    <w:rsid w:val="000D4F09"/>
    <w:rsid w:val="000D5965"/>
    <w:rsid w:val="000D5EED"/>
    <w:rsid w:val="000D60E7"/>
    <w:rsid w:val="000D7934"/>
    <w:rsid w:val="000E396C"/>
    <w:rsid w:val="000E6487"/>
    <w:rsid w:val="000E751C"/>
    <w:rsid w:val="000F04BA"/>
    <w:rsid w:val="000F1878"/>
    <w:rsid w:val="000F18B2"/>
    <w:rsid w:val="000F2F98"/>
    <w:rsid w:val="000F3419"/>
    <w:rsid w:val="000F58E0"/>
    <w:rsid w:val="00100623"/>
    <w:rsid w:val="001010C7"/>
    <w:rsid w:val="00101127"/>
    <w:rsid w:val="001015BE"/>
    <w:rsid w:val="001035B0"/>
    <w:rsid w:val="001069E0"/>
    <w:rsid w:val="00107842"/>
    <w:rsid w:val="00110402"/>
    <w:rsid w:val="00113532"/>
    <w:rsid w:val="00113664"/>
    <w:rsid w:val="001168AC"/>
    <w:rsid w:val="00120AB2"/>
    <w:rsid w:val="00122ED7"/>
    <w:rsid w:val="0012338C"/>
    <w:rsid w:val="00123627"/>
    <w:rsid w:val="00125814"/>
    <w:rsid w:val="00125863"/>
    <w:rsid w:val="00125CF8"/>
    <w:rsid w:val="00125D81"/>
    <w:rsid w:val="00126E81"/>
    <w:rsid w:val="00127007"/>
    <w:rsid w:val="00127FCA"/>
    <w:rsid w:val="00130550"/>
    <w:rsid w:val="001305CA"/>
    <w:rsid w:val="00130DAF"/>
    <w:rsid w:val="00132AA6"/>
    <w:rsid w:val="00132DC3"/>
    <w:rsid w:val="00134B44"/>
    <w:rsid w:val="001354C4"/>
    <w:rsid w:val="00141233"/>
    <w:rsid w:val="00141BA3"/>
    <w:rsid w:val="001425DD"/>
    <w:rsid w:val="00142B1B"/>
    <w:rsid w:val="00142D2B"/>
    <w:rsid w:val="001444DF"/>
    <w:rsid w:val="00145F47"/>
    <w:rsid w:val="001501FD"/>
    <w:rsid w:val="00154520"/>
    <w:rsid w:val="00155336"/>
    <w:rsid w:val="00155393"/>
    <w:rsid w:val="001576ED"/>
    <w:rsid w:val="00157BFD"/>
    <w:rsid w:val="001614F7"/>
    <w:rsid w:val="00161E67"/>
    <w:rsid w:val="0016234E"/>
    <w:rsid w:val="00162A5B"/>
    <w:rsid w:val="0016433D"/>
    <w:rsid w:val="001645FF"/>
    <w:rsid w:val="001646BA"/>
    <w:rsid w:val="001648EE"/>
    <w:rsid w:val="001652EF"/>
    <w:rsid w:val="00167385"/>
    <w:rsid w:val="00167DA0"/>
    <w:rsid w:val="00170063"/>
    <w:rsid w:val="00170DAA"/>
    <w:rsid w:val="00173FB4"/>
    <w:rsid w:val="00175416"/>
    <w:rsid w:val="00175683"/>
    <w:rsid w:val="00176435"/>
    <w:rsid w:val="0017666A"/>
    <w:rsid w:val="00183C71"/>
    <w:rsid w:val="00184042"/>
    <w:rsid w:val="00186172"/>
    <w:rsid w:val="00187005"/>
    <w:rsid w:val="00190D8C"/>
    <w:rsid w:val="001920C9"/>
    <w:rsid w:val="001924C8"/>
    <w:rsid w:val="00193C6D"/>
    <w:rsid w:val="00194A06"/>
    <w:rsid w:val="001968F1"/>
    <w:rsid w:val="001968FE"/>
    <w:rsid w:val="00197AC9"/>
    <w:rsid w:val="00197B7E"/>
    <w:rsid w:val="00197FB3"/>
    <w:rsid w:val="001A22D1"/>
    <w:rsid w:val="001A2896"/>
    <w:rsid w:val="001A3450"/>
    <w:rsid w:val="001B04A1"/>
    <w:rsid w:val="001B212D"/>
    <w:rsid w:val="001B3B62"/>
    <w:rsid w:val="001B5C7C"/>
    <w:rsid w:val="001B603E"/>
    <w:rsid w:val="001B705D"/>
    <w:rsid w:val="001B7A08"/>
    <w:rsid w:val="001C1CDF"/>
    <w:rsid w:val="001C1F96"/>
    <w:rsid w:val="001C2FC9"/>
    <w:rsid w:val="001C40D3"/>
    <w:rsid w:val="001C47F5"/>
    <w:rsid w:val="001C4EE0"/>
    <w:rsid w:val="001C7303"/>
    <w:rsid w:val="001D2B5A"/>
    <w:rsid w:val="001D3784"/>
    <w:rsid w:val="001D3CF4"/>
    <w:rsid w:val="001D4E79"/>
    <w:rsid w:val="001E015F"/>
    <w:rsid w:val="001E04FD"/>
    <w:rsid w:val="001E09FC"/>
    <w:rsid w:val="001E0FCC"/>
    <w:rsid w:val="001E118A"/>
    <w:rsid w:val="001E1829"/>
    <w:rsid w:val="001E2AC5"/>
    <w:rsid w:val="001E2E56"/>
    <w:rsid w:val="001E4E78"/>
    <w:rsid w:val="001E60EE"/>
    <w:rsid w:val="001F0526"/>
    <w:rsid w:val="001F0A2D"/>
    <w:rsid w:val="001F0A6C"/>
    <w:rsid w:val="001F1309"/>
    <w:rsid w:val="001F23C9"/>
    <w:rsid w:val="001F27BF"/>
    <w:rsid w:val="001F3CAF"/>
    <w:rsid w:val="001F466E"/>
    <w:rsid w:val="001F4B85"/>
    <w:rsid w:val="001F54B0"/>
    <w:rsid w:val="001F56D3"/>
    <w:rsid w:val="001F64A5"/>
    <w:rsid w:val="001F6F61"/>
    <w:rsid w:val="001F7629"/>
    <w:rsid w:val="002003A8"/>
    <w:rsid w:val="00202B43"/>
    <w:rsid w:val="00202C4E"/>
    <w:rsid w:val="00203623"/>
    <w:rsid w:val="0020425D"/>
    <w:rsid w:val="00206160"/>
    <w:rsid w:val="0020653A"/>
    <w:rsid w:val="00206F26"/>
    <w:rsid w:val="00207A4A"/>
    <w:rsid w:val="00210073"/>
    <w:rsid w:val="00210CDF"/>
    <w:rsid w:val="00211F52"/>
    <w:rsid w:val="0021253E"/>
    <w:rsid w:val="00213245"/>
    <w:rsid w:val="0021458D"/>
    <w:rsid w:val="00216495"/>
    <w:rsid w:val="00217F26"/>
    <w:rsid w:val="00221AB3"/>
    <w:rsid w:val="0022293B"/>
    <w:rsid w:val="00232741"/>
    <w:rsid w:val="00232E54"/>
    <w:rsid w:val="00233BF6"/>
    <w:rsid w:val="00234A5E"/>
    <w:rsid w:val="0023722D"/>
    <w:rsid w:val="0023790E"/>
    <w:rsid w:val="00240AB1"/>
    <w:rsid w:val="0024124B"/>
    <w:rsid w:val="002416E1"/>
    <w:rsid w:val="00242D9B"/>
    <w:rsid w:val="002444DE"/>
    <w:rsid w:val="00244656"/>
    <w:rsid w:val="00245129"/>
    <w:rsid w:val="00245767"/>
    <w:rsid w:val="00246E4D"/>
    <w:rsid w:val="0024778E"/>
    <w:rsid w:val="00250762"/>
    <w:rsid w:val="00252740"/>
    <w:rsid w:val="00252798"/>
    <w:rsid w:val="00252C28"/>
    <w:rsid w:val="00254FB4"/>
    <w:rsid w:val="00255472"/>
    <w:rsid w:val="00260120"/>
    <w:rsid w:val="00260517"/>
    <w:rsid w:val="00262BE8"/>
    <w:rsid w:val="00264468"/>
    <w:rsid w:val="00266095"/>
    <w:rsid w:val="00267AA4"/>
    <w:rsid w:val="00271D74"/>
    <w:rsid w:val="00271DF4"/>
    <w:rsid w:val="00275CC9"/>
    <w:rsid w:val="00276CEB"/>
    <w:rsid w:val="00277793"/>
    <w:rsid w:val="00277844"/>
    <w:rsid w:val="0028007C"/>
    <w:rsid w:val="00283404"/>
    <w:rsid w:val="002839E1"/>
    <w:rsid w:val="00284E04"/>
    <w:rsid w:val="002858A9"/>
    <w:rsid w:val="00285D18"/>
    <w:rsid w:val="00287020"/>
    <w:rsid w:val="00287077"/>
    <w:rsid w:val="00287626"/>
    <w:rsid w:val="0028798D"/>
    <w:rsid w:val="00290008"/>
    <w:rsid w:val="00291036"/>
    <w:rsid w:val="0029109B"/>
    <w:rsid w:val="00293AB0"/>
    <w:rsid w:val="002954D8"/>
    <w:rsid w:val="00296072"/>
    <w:rsid w:val="00296488"/>
    <w:rsid w:val="00296A5F"/>
    <w:rsid w:val="002971B7"/>
    <w:rsid w:val="00297430"/>
    <w:rsid w:val="002A0FDD"/>
    <w:rsid w:val="002A1147"/>
    <w:rsid w:val="002A207E"/>
    <w:rsid w:val="002A2326"/>
    <w:rsid w:val="002A4BB0"/>
    <w:rsid w:val="002A4D9C"/>
    <w:rsid w:val="002A547F"/>
    <w:rsid w:val="002A667A"/>
    <w:rsid w:val="002A7F66"/>
    <w:rsid w:val="002B0F87"/>
    <w:rsid w:val="002B1DA4"/>
    <w:rsid w:val="002B2772"/>
    <w:rsid w:val="002B31D8"/>
    <w:rsid w:val="002C1667"/>
    <w:rsid w:val="002C213E"/>
    <w:rsid w:val="002C2D94"/>
    <w:rsid w:val="002C40BD"/>
    <w:rsid w:val="002C472B"/>
    <w:rsid w:val="002C4A0A"/>
    <w:rsid w:val="002C5EEC"/>
    <w:rsid w:val="002C6434"/>
    <w:rsid w:val="002C64B0"/>
    <w:rsid w:val="002C7D6F"/>
    <w:rsid w:val="002D0473"/>
    <w:rsid w:val="002D49A2"/>
    <w:rsid w:val="002D5153"/>
    <w:rsid w:val="002D57A3"/>
    <w:rsid w:val="002D5800"/>
    <w:rsid w:val="002D61C4"/>
    <w:rsid w:val="002E14A6"/>
    <w:rsid w:val="002E287F"/>
    <w:rsid w:val="002E3114"/>
    <w:rsid w:val="002E3C0D"/>
    <w:rsid w:val="002E3F08"/>
    <w:rsid w:val="002E4DF5"/>
    <w:rsid w:val="002E56CB"/>
    <w:rsid w:val="002E60AD"/>
    <w:rsid w:val="002F0582"/>
    <w:rsid w:val="002F05B3"/>
    <w:rsid w:val="002F0F91"/>
    <w:rsid w:val="002F2433"/>
    <w:rsid w:val="002F2612"/>
    <w:rsid w:val="002F4491"/>
    <w:rsid w:val="002F4935"/>
    <w:rsid w:val="002F5968"/>
    <w:rsid w:val="002F5DFE"/>
    <w:rsid w:val="002F6580"/>
    <w:rsid w:val="002F759B"/>
    <w:rsid w:val="002F7DA0"/>
    <w:rsid w:val="0030244F"/>
    <w:rsid w:val="00302B32"/>
    <w:rsid w:val="0030337B"/>
    <w:rsid w:val="00303BFF"/>
    <w:rsid w:val="0030414E"/>
    <w:rsid w:val="00304DF2"/>
    <w:rsid w:val="003058FD"/>
    <w:rsid w:val="00306280"/>
    <w:rsid w:val="0030734B"/>
    <w:rsid w:val="00312914"/>
    <w:rsid w:val="0031295A"/>
    <w:rsid w:val="0031297C"/>
    <w:rsid w:val="00312FF5"/>
    <w:rsid w:val="00320A4F"/>
    <w:rsid w:val="00320D4F"/>
    <w:rsid w:val="00322AE9"/>
    <w:rsid w:val="00322FB9"/>
    <w:rsid w:val="003234D2"/>
    <w:rsid w:val="003252AB"/>
    <w:rsid w:val="0032769E"/>
    <w:rsid w:val="0033151F"/>
    <w:rsid w:val="0033321E"/>
    <w:rsid w:val="00335029"/>
    <w:rsid w:val="003367B4"/>
    <w:rsid w:val="00336F6B"/>
    <w:rsid w:val="003373CE"/>
    <w:rsid w:val="00340274"/>
    <w:rsid w:val="0034084D"/>
    <w:rsid w:val="00340E51"/>
    <w:rsid w:val="0034104C"/>
    <w:rsid w:val="003431CA"/>
    <w:rsid w:val="003432BB"/>
    <w:rsid w:val="003448CC"/>
    <w:rsid w:val="00347A5A"/>
    <w:rsid w:val="00347DD6"/>
    <w:rsid w:val="003504A1"/>
    <w:rsid w:val="00350BE8"/>
    <w:rsid w:val="003520F6"/>
    <w:rsid w:val="00353179"/>
    <w:rsid w:val="00353C87"/>
    <w:rsid w:val="00357664"/>
    <w:rsid w:val="00357A0A"/>
    <w:rsid w:val="003608A4"/>
    <w:rsid w:val="00361060"/>
    <w:rsid w:val="003624E3"/>
    <w:rsid w:val="00363E0F"/>
    <w:rsid w:val="003649EE"/>
    <w:rsid w:val="00365336"/>
    <w:rsid w:val="0036585F"/>
    <w:rsid w:val="00366525"/>
    <w:rsid w:val="0036789A"/>
    <w:rsid w:val="00370EBE"/>
    <w:rsid w:val="00372BB8"/>
    <w:rsid w:val="00374630"/>
    <w:rsid w:val="00376888"/>
    <w:rsid w:val="00380BD5"/>
    <w:rsid w:val="00382BFB"/>
    <w:rsid w:val="00384002"/>
    <w:rsid w:val="00386897"/>
    <w:rsid w:val="003868EA"/>
    <w:rsid w:val="00390BEC"/>
    <w:rsid w:val="00391C3D"/>
    <w:rsid w:val="00393DFA"/>
    <w:rsid w:val="00393F04"/>
    <w:rsid w:val="00394A5A"/>
    <w:rsid w:val="00395427"/>
    <w:rsid w:val="00397A47"/>
    <w:rsid w:val="003A00BC"/>
    <w:rsid w:val="003A0141"/>
    <w:rsid w:val="003A2C80"/>
    <w:rsid w:val="003A5167"/>
    <w:rsid w:val="003A5BE0"/>
    <w:rsid w:val="003A615B"/>
    <w:rsid w:val="003A67B3"/>
    <w:rsid w:val="003A7E9E"/>
    <w:rsid w:val="003B143F"/>
    <w:rsid w:val="003B265E"/>
    <w:rsid w:val="003B2E4F"/>
    <w:rsid w:val="003B3278"/>
    <w:rsid w:val="003B34CF"/>
    <w:rsid w:val="003B4741"/>
    <w:rsid w:val="003B4771"/>
    <w:rsid w:val="003B6A60"/>
    <w:rsid w:val="003C03D6"/>
    <w:rsid w:val="003C2F57"/>
    <w:rsid w:val="003C37F7"/>
    <w:rsid w:val="003C53C4"/>
    <w:rsid w:val="003C7A79"/>
    <w:rsid w:val="003D1A3A"/>
    <w:rsid w:val="003D4D2D"/>
    <w:rsid w:val="003D4E0D"/>
    <w:rsid w:val="003D6A9F"/>
    <w:rsid w:val="003D6F1C"/>
    <w:rsid w:val="003D77E6"/>
    <w:rsid w:val="003E07CF"/>
    <w:rsid w:val="003E08D9"/>
    <w:rsid w:val="003E26E2"/>
    <w:rsid w:val="003E304C"/>
    <w:rsid w:val="003E3B87"/>
    <w:rsid w:val="003E3D11"/>
    <w:rsid w:val="003E400D"/>
    <w:rsid w:val="003E5154"/>
    <w:rsid w:val="003E557B"/>
    <w:rsid w:val="003F15D5"/>
    <w:rsid w:val="003F24F6"/>
    <w:rsid w:val="003F43BA"/>
    <w:rsid w:val="003F643F"/>
    <w:rsid w:val="0040170E"/>
    <w:rsid w:val="00401E5B"/>
    <w:rsid w:val="00402089"/>
    <w:rsid w:val="00402709"/>
    <w:rsid w:val="00403B7F"/>
    <w:rsid w:val="00405A8F"/>
    <w:rsid w:val="00405EED"/>
    <w:rsid w:val="004062BD"/>
    <w:rsid w:val="004122C2"/>
    <w:rsid w:val="00412FC9"/>
    <w:rsid w:val="00413F2F"/>
    <w:rsid w:val="0041638E"/>
    <w:rsid w:val="00417171"/>
    <w:rsid w:val="0041764D"/>
    <w:rsid w:val="00420220"/>
    <w:rsid w:val="004230BE"/>
    <w:rsid w:val="004235BE"/>
    <w:rsid w:val="004258F6"/>
    <w:rsid w:val="00425D0C"/>
    <w:rsid w:val="0042641F"/>
    <w:rsid w:val="004269D0"/>
    <w:rsid w:val="00426C8D"/>
    <w:rsid w:val="00427DBE"/>
    <w:rsid w:val="00427E2A"/>
    <w:rsid w:val="00430AE7"/>
    <w:rsid w:val="004310EC"/>
    <w:rsid w:val="00431DD7"/>
    <w:rsid w:val="00431F76"/>
    <w:rsid w:val="00432583"/>
    <w:rsid w:val="004338F7"/>
    <w:rsid w:val="00434733"/>
    <w:rsid w:val="004347E0"/>
    <w:rsid w:val="00436D26"/>
    <w:rsid w:val="00436FB2"/>
    <w:rsid w:val="004379BB"/>
    <w:rsid w:val="00443519"/>
    <w:rsid w:val="00447B2C"/>
    <w:rsid w:val="00450A6C"/>
    <w:rsid w:val="0045517F"/>
    <w:rsid w:val="00457646"/>
    <w:rsid w:val="004601DE"/>
    <w:rsid w:val="00460D7B"/>
    <w:rsid w:val="00461B64"/>
    <w:rsid w:val="004621F2"/>
    <w:rsid w:val="00462CD6"/>
    <w:rsid w:val="0046344F"/>
    <w:rsid w:val="00463ADC"/>
    <w:rsid w:val="00465EF9"/>
    <w:rsid w:val="004673EE"/>
    <w:rsid w:val="00472471"/>
    <w:rsid w:val="00472752"/>
    <w:rsid w:val="004742AF"/>
    <w:rsid w:val="00474B99"/>
    <w:rsid w:val="00475304"/>
    <w:rsid w:val="00476196"/>
    <w:rsid w:val="004772EB"/>
    <w:rsid w:val="00477D09"/>
    <w:rsid w:val="004805F7"/>
    <w:rsid w:val="004823F6"/>
    <w:rsid w:val="004831E8"/>
    <w:rsid w:val="0048472A"/>
    <w:rsid w:val="004847CB"/>
    <w:rsid w:val="004905B6"/>
    <w:rsid w:val="00490ACF"/>
    <w:rsid w:val="00492F1D"/>
    <w:rsid w:val="00494E96"/>
    <w:rsid w:val="00495879"/>
    <w:rsid w:val="00495B79"/>
    <w:rsid w:val="00495F27"/>
    <w:rsid w:val="004966B3"/>
    <w:rsid w:val="00496A3F"/>
    <w:rsid w:val="004977B9"/>
    <w:rsid w:val="004A650A"/>
    <w:rsid w:val="004A7B21"/>
    <w:rsid w:val="004B0C43"/>
    <w:rsid w:val="004B12EC"/>
    <w:rsid w:val="004B2074"/>
    <w:rsid w:val="004B4093"/>
    <w:rsid w:val="004B4E09"/>
    <w:rsid w:val="004B5087"/>
    <w:rsid w:val="004C09E5"/>
    <w:rsid w:val="004C44D7"/>
    <w:rsid w:val="004C4BD0"/>
    <w:rsid w:val="004C5A0F"/>
    <w:rsid w:val="004C5AAA"/>
    <w:rsid w:val="004C5DB8"/>
    <w:rsid w:val="004D183E"/>
    <w:rsid w:val="004D1B73"/>
    <w:rsid w:val="004D2624"/>
    <w:rsid w:val="004D2AA8"/>
    <w:rsid w:val="004D364A"/>
    <w:rsid w:val="004D4FBC"/>
    <w:rsid w:val="004D5103"/>
    <w:rsid w:val="004D54AA"/>
    <w:rsid w:val="004D69E4"/>
    <w:rsid w:val="004D6D30"/>
    <w:rsid w:val="004D77E2"/>
    <w:rsid w:val="004D7F3B"/>
    <w:rsid w:val="004E004A"/>
    <w:rsid w:val="004E1E3D"/>
    <w:rsid w:val="004E36E6"/>
    <w:rsid w:val="004E5B09"/>
    <w:rsid w:val="004E5B7F"/>
    <w:rsid w:val="004F04AF"/>
    <w:rsid w:val="004F074A"/>
    <w:rsid w:val="004F1885"/>
    <w:rsid w:val="004F2E21"/>
    <w:rsid w:val="004F3333"/>
    <w:rsid w:val="004F5CD4"/>
    <w:rsid w:val="004F60A5"/>
    <w:rsid w:val="004F6116"/>
    <w:rsid w:val="004F673C"/>
    <w:rsid w:val="00502702"/>
    <w:rsid w:val="00502C82"/>
    <w:rsid w:val="00502DA7"/>
    <w:rsid w:val="005030A5"/>
    <w:rsid w:val="005043F7"/>
    <w:rsid w:val="005045F8"/>
    <w:rsid w:val="005049C4"/>
    <w:rsid w:val="005123C5"/>
    <w:rsid w:val="00514E5E"/>
    <w:rsid w:val="00515488"/>
    <w:rsid w:val="005164E7"/>
    <w:rsid w:val="005202F5"/>
    <w:rsid w:val="005205CE"/>
    <w:rsid w:val="0052137E"/>
    <w:rsid w:val="0052202B"/>
    <w:rsid w:val="00522E53"/>
    <w:rsid w:val="00524D40"/>
    <w:rsid w:val="00524EF6"/>
    <w:rsid w:val="005265C4"/>
    <w:rsid w:val="00526AA2"/>
    <w:rsid w:val="0053091E"/>
    <w:rsid w:val="00531FA5"/>
    <w:rsid w:val="00532415"/>
    <w:rsid w:val="005332A6"/>
    <w:rsid w:val="005338BE"/>
    <w:rsid w:val="00536127"/>
    <w:rsid w:val="00536C6B"/>
    <w:rsid w:val="00537103"/>
    <w:rsid w:val="00537F6B"/>
    <w:rsid w:val="00540A40"/>
    <w:rsid w:val="00540F65"/>
    <w:rsid w:val="00541E02"/>
    <w:rsid w:val="00542330"/>
    <w:rsid w:val="00542F62"/>
    <w:rsid w:val="00543DE2"/>
    <w:rsid w:val="00544D51"/>
    <w:rsid w:val="00545870"/>
    <w:rsid w:val="00546A62"/>
    <w:rsid w:val="00552970"/>
    <w:rsid w:val="0055465E"/>
    <w:rsid w:val="00554823"/>
    <w:rsid w:val="005555F5"/>
    <w:rsid w:val="0056092D"/>
    <w:rsid w:val="00562A22"/>
    <w:rsid w:val="00563B43"/>
    <w:rsid w:val="00564496"/>
    <w:rsid w:val="00565EE5"/>
    <w:rsid w:val="00566ABE"/>
    <w:rsid w:val="00571172"/>
    <w:rsid w:val="00571C02"/>
    <w:rsid w:val="00574587"/>
    <w:rsid w:val="0057564D"/>
    <w:rsid w:val="00575E7A"/>
    <w:rsid w:val="005776C9"/>
    <w:rsid w:val="00580382"/>
    <w:rsid w:val="00580D4B"/>
    <w:rsid w:val="005817E0"/>
    <w:rsid w:val="00583A0E"/>
    <w:rsid w:val="005854FA"/>
    <w:rsid w:val="00585D5A"/>
    <w:rsid w:val="00585F97"/>
    <w:rsid w:val="005864B1"/>
    <w:rsid w:val="005874D7"/>
    <w:rsid w:val="00587C3E"/>
    <w:rsid w:val="00590839"/>
    <w:rsid w:val="00591152"/>
    <w:rsid w:val="005915E5"/>
    <w:rsid w:val="00591B30"/>
    <w:rsid w:val="00592DAA"/>
    <w:rsid w:val="005944D6"/>
    <w:rsid w:val="00595521"/>
    <w:rsid w:val="005961E1"/>
    <w:rsid w:val="00596488"/>
    <w:rsid w:val="00596590"/>
    <w:rsid w:val="00596AE8"/>
    <w:rsid w:val="005A1F47"/>
    <w:rsid w:val="005A2F77"/>
    <w:rsid w:val="005A3A70"/>
    <w:rsid w:val="005A4AE4"/>
    <w:rsid w:val="005A58EF"/>
    <w:rsid w:val="005A6B5B"/>
    <w:rsid w:val="005A6F26"/>
    <w:rsid w:val="005B0B38"/>
    <w:rsid w:val="005B178D"/>
    <w:rsid w:val="005C4B39"/>
    <w:rsid w:val="005C62FE"/>
    <w:rsid w:val="005C78C2"/>
    <w:rsid w:val="005C7930"/>
    <w:rsid w:val="005C7ECE"/>
    <w:rsid w:val="005D0104"/>
    <w:rsid w:val="005D1096"/>
    <w:rsid w:val="005D2AA6"/>
    <w:rsid w:val="005D2E95"/>
    <w:rsid w:val="005D41B8"/>
    <w:rsid w:val="005D6A4C"/>
    <w:rsid w:val="005D6CB8"/>
    <w:rsid w:val="005D78AB"/>
    <w:rsid w:val="005E023F"/>
    <w:rsid w:val="005E063F"/>
    <w:rsid w:val="005E26BA"/>
    <w:rsid w:val="005E2DDF"/>
    <w:rsid w:val="005E68A4"/>
    <w:rsid w:val="005E72BE"/>
    <w:rsid w:val="005F2C2C"/>
    <w:rsid w:val="005F3165"/>
    <w:rsid w:val="005F45C4"/>
    <w:rsid w:val="005F45D0"/>
    <w:rsid w:val="005F6B93"/>
    <w:rsid w:val="005F7608"/>
    <w:rsid w:val="00600BB2"/>
    <w:rsid w:val="00604AD3"/>
    <w:rsid w:val="006106BC"/>
    <w:rsid w:val="00610D73"/>
    <w:rsid w:val="00612E03"/>
    <w:rsid w:val="00622C4B"/>
    <w:rsid w:val="00622E5B"/>
    <w:rsid w:val="00626616"/>
    <w:rsid w:val="0062684E"/>
    <w:rsid w:val="00626A02"/>
    <w:rsid w:val="00626FA7"/>
    <w:rsid w:val="006301BA"/>
    <w:rsid w:val="006317E3"/>
    <w:rsid w:val="00631EBD"/>
    <w:rsid w:val="00632088"/>
    <w:rsid w:val="006325D4"/>
    <w:rsid w:val="006332A4"/>
    <w:rsid w:val="00633921"/>
    <w:rsid w:val="00636DDD"/>
    <w:rsid w:val="00636DF4"/>
    <w:rsid w:val="0063700B"/>
    <w:rsid w:val="00637711"/>
    <w:rsid w:val="00641379"/>
    <w:rsid w:val="0064225F"/>
    <w:rsid w:val="00642956"/>
    <w:rsid w:val="00643391"/>
    <w:rsid w:val="00644365"/>
    <w:rsid w:val="00644434"/>
    <w:rsid w:val="00647245"/>
    <w:rsid w:val="00647380"/>
    <w:rsid w:val="006516EC"/>
    <w:rsid w:val="00651FF7"/>
    <w:rsid w:val="006520FB"/>
    <w:rsid w:val="006523E7"/>
    <w:rsid w:val="00652846"/>
    <w:rsid w:val="00652E53"/>
    <w:rsid w:val="0065305F"/>
    <w:rsid w:val="006534AC"/>
    <w:rsid w:val="0065371C"/>
    <w:rsid w:val="00654867"/>
    <w:rsid w:val="00655FE1"/>
    <w:rsid w:val="00660448"/>
    <w:rsid w:val="00661283"/>
    <w:rsid w:val="00661D69"/>
    <w:rsid w:val="00661EA1"/>
    <w:rsid w:val="00663DE3"/>
    <w:rsid w:val="006652C5"/>
    <w:rsid w:val="0066546B"/>
    <w:rsid w:val="006678A6"/>
    <w:rsid w:val="0067044E"/>
    <w:rsid w:val="00670C88"/>
    <w:rsid w:val="006710D3"/>
    <w:rsid w:val="0067196F"/>
    <w:rsid w:val="006733A6"/>
    <w:rsid w:val="006736DD"/>
    <w:rsid w:val="0067600B"/>
    <w:rsid w:val="00680417"/>
    <w:rsid w:val="00680CE8"/>
    <w:rsid w:val="00680FB0"/>
    <w:rsid w:val="00682125"/>
    <w:rsid w:val="00682784"/>
    <w:rsid w:val="00682B01"/>
    <w:rsid w:val="0068572D"/>
    <w:rsid w:val="00685919"/>
    <w:rsid w:val="00686D13"/>
    <w:rsid w:val="006872F2"/>
    <w:rsid w:val="006878A4"/>
    <w:rsid w:val="00690B78"/>
    <w:rsid w:val="00690B82"/>
    <w:rsid w:val="00695B04"/>
    <w:rsid w:val="00695B0B"/>
    <w:rsid w:val="00697D31"/>
    <w:rsid w:val="006A0511"/>
    <w:rsid w:val="006A0C34"/>
    <w:rsid w:val="006A1D15"/>
    <w:rsid w:val="006A27CB"/>
    <w:rsid w:val="006A31A6"/>
    <w:rsid w:val="006A3FD7"/>
    <w:rsid w:val="006A4823"/>
    <w:rsid w:val="006A4E3D"/>
    <w:rsid w:val="006A6501"/>
    <w:rsid w:val="006A76C1"/>
    <w:rsid w:val="006B0AE4"/>
    <w:rsid w:val="006B0E66"/>
    <w:rsid w:val="006B2162"/>
    <w:rsid w:val="006B5B63"/>
    <w:rsid w:val="006B7216"/>
    <w:rsid w:val="006C1806"/>
    <w:rsid w:val="006C1BFB"/>
    <w:rsid w:val="006C2918"/>
    <w:rsid w:val="006C3032"/>
    <w:rsid w:val="006C3399"/>
    <w:rsid w:val="006C3E4C"/>
    <w:rsid w:val="006C538B"/>
    <w:rsid w:val="006C5823"/>
    <w:rsid w:val="006C7198"/>
    <w:rsid w:val="006C7DC8"/>
    <w:rsid w:val="006D31BA"/>
    <w:rsid w:val="006D3A22"/>
    <w:rsid w:val="006D3E93"/>
    <w:rsid w:val="006D3F04"/>
    <w:rsid w:val="006D3F0C"/>
    <w:rsid w:val="006D4C0F"/>
    <w:rsid w:val="006D583B"/>
    <w:rsid w:val="006D5BC0"/>
    <w:rsid w:val="006D5FC7"/>
    <w:rsid w:val="006E0D09"/>
    <w:rsid w:val="006E156C"/>
    <w:rsid w:val="006E1E96"/>
    <w:rsid w:val="006E2219"/>
    <w:rsid w:val="006E282A"/>
    <w:rsid w:val="006E2CA8"/>
    <w:rsid w:val="006E4F6F"/>
    <w:rsid w:val="006E72D9"/>
    <w:rsid w:val="006F02D0"/>
    <w:rsid w:val="006F1168"/>
    <w:rsid w:val="006F3AD1"/>
    <w:rsid w:val="006F4463"/>
    <w:rsid w:val="006F50D1"/>
    <w:rsid w:val="006F5214"/>
    <w:rsid w:val="006F5D8E"/>
    <w:rsid w:val="006F6550"/>
    <w:rsid w:val="006F66D2"/>
    <w:rsid w:val="00701498"/>
    <w:rsid w:val="00705208"/>
    <w:rsid w:val="00705F2D"/>
    <w:rsid w:val="007070B2"/>
    <w:rsid w:val="007140FF"/>
    <w:rsid w:val="00714737"/>
    <w:rsid w:val="00714F27"/>
    <w:rsid w:val="00715665"/>
    <w:rsid w:val="00716939"/>
    <w:rsid w:val="00717FEC"/>
    <w:rsid w:val="00720BAB"/>
    <w:rsid w:val="00721C8D"/>
    <w:rsid w:val="00721E9E"/>
    <w:rsid w:val="00722554"/>
    <w:rsid w:val="00722F84"/>
    <w:rsid w:val="0072545C"/>
    <w:rsid w:val="007265F8"/>
    <w:rsid w:val="00731182"/>
    <w:rsid w:val="00732B08"/>
    <w:rsid w:val="00737DC7"/>
    <w:rsid w:val="00740EB5"/>
    <w:rsid w:val="007411FC"/>
    <w:rsid w:val="007451D1"/>
    <w:rsid w:val="00745AEA"/>
    <w:rsid w:val="00753E65"/>
    <w:rsid w:val="00755EE3"/>
    <w:rsid w:val="00757DA4"/>
    <w:rsid w:val="0076003C"/>
    <w:rsid w:val="00765EAF"/>
    <w:rsid w:val="00766937"/>
    <w:rsid w:val="00766995"/>
    <w:rsid w:val="00767182"/>
    <w:rsid w:val="00770861"/>
    <w:rsid w:val="00770949"/>
    <w:rsid w:val="00770C5D"/>
    <w:rsid w:val="00771AA4"/>
    <w:rsid w:val="007749F4"/>
    <w:rsid w:val="00775E9D"/>
    <w:rsid w:val="00776726"/>
    <w:rsid w:val="00780864"/>
    <w:rsid w:val="0078596D"/>
    <w:rsid w:val="00787143"/>
    <w:rsid w:val="007908EE"/>
    <w:rsid w:val="00791123"/>
    <w:rsid w:val="00791FFA"/>
    <w:rsid w:val="0079338F"/>
    <w:rsid w:val="007942D4"/>
    <w:rsid w:val="00794D4D"/>
    <w:rsid w:val="00795950"/>
    <w:rsid w:val="00795C5A"/>
    <w:rsid w:val="007967D7"/>
    <w:rsid w:val="007A1930"/>
    <w:rsid w:val="007A1D87"/>
    <w:rsid w:val="007A3A93"/>
    <w:rsid w:val="007A5064"/>
    <w:rsid w:val="007A5198"/>
    <w:rsid w:val="007A5492"/>
    <w:rsid w:val="007A58BC"/>
    <w:rsid w:val="007A71A9"/>
    <w:rsid w:val="007B1B48"/>
    <w:rsid w:val="007B2A95"/>
    <w:rsid w:val="007B3767"/>
    <w:rsid w:val="007B3DB6"/>
    <w:rsid w:val="007B4269"/>
    <w:rsid w:val="007B6801"/>
    <w:rsid w:val="007C0A8E"/>
    <w:rsid w:val="007C1F87"/>
    <w:rsid w:val="007C2232"/>
    <w:rsid w:val="007C30AD"/>
    <w:rsid w:val="007C42CF"/>
    <w:rsid w:val="007C471E"/>
    <w:rsid w:val="007C4786"/>
    <w:rsid w:val="007C5051"/>
    <w:rsid w:val="007C5645"/>
    <w:rsid w:val="007C5B0D"/>
    <w:rsid w:val="007C7D80"/>
    <w:rsid w:val="007D051C"/>
    <w:rsid w:val="007D185C"/>
    <w:rsid w:val="007D22F8"/>
    <w:rsid w:val="007D4837"/>
    <w:rsid w:val="007D56F2"/>
    <w:rsid w:val="007D7043"/>
    <w:rsid w:val="007D7B5F"/>
    <w:rsid w:val="007E0CFA"/>
    <w:rsid w:val="007E2974"/>
    <w:rsid w:val="007E2CAD"/>
    <w:rsid w:val="007E38E7"/>
    <w:rsid w:val="007E48F8"/>
    <w:rsid w:val="007E5AF6"/>
    <w:rsid w:val="007E63BB"/>
    <w:rsid w:val="007E7ECD"/>
    <w:rsid w:val="007F0403"/>
    <w:rsid w:val="007F0730"/>
    <w:rsid w:val="007F289A"/>
    <w:rsid w:val="007F316A"/>
    <w:rsid w:val="007F44DB"/>
    <w:rsid w:val="007F5B10"/>
    <w:rsid w:val="007F6B7A"/>
    <w:rsid w:val="007F7327"/>
    <w:rsid w:val="007F73FE"/>
    <w:rsid w:val="00800A40"/>
    <w:rsid w:val="00800D3C"/>
    <w:rsid w:val="00803C2A"/>
    <w:rsid w:val="0080588B"/>
    <w:rsid w:val="0081217C"/>
    <w:rsid w:val="0081339A"/>
    <w:rsid w:val="008149A0"/>
    <w:rsid w:val="00815E46"/>
    <w:rsid w:val="00816267"/>
    <w:rsid w:val="00817F69"/>
    <w:rsid w:val="00822078"/>
    <w:rsid w:val="00822CEF"/>
    <w:rsid w:val="00825E65"/>
    <w:rsid w:val="00826D05"/>
    <w:rsid w:val="008270C0"/>
    <w:rsid w:val="00827FE9"/>
    <w:rsid w:val="008339E5"/>
    <w:rsid w:val="008400BD"/>
    <w:rsid w:val="0084024B"/>
    <w:rsid w:val="00840292"/>
    <w:rsid w:val="0084071B"/>
    <w:rsid w:val="00842B06"/>
    <w:rsid w:val="00843457"/>
    <w:rsid w:val="00843986"/>
    <w:rsid w:val="00843B38"/>
    <w:rsid w:val="00843C91"/>
    <w:rsid w:val="00843E2D"/>
    <w:rsid w:val="00843FDF"/>
    <w:rsid w:val="00844500"/>
    <w:rsid w:val="00844B3A"/>
    <w:rsid w:val="008506F2"/>
    <w:rsid w:val="00852843"/>
    <w:rsid w:val="00856B2E"/>
    <w:rsid w:val="00856D9B"/>
    <w:rsid w:val="008575DE"/>
    <w:rsid w:val="00857EFF"/>
    <w:rsid w:val="0086288F"/>
    <w:rsid w:val="0086306F"/>
    <w:rsid w:val="00863946"/>
    <w:rsid w:val="00864B79"/>
    <w:rsid w:val="00865206"/>
    <w:rsid w:val="00866124"/>
    <w:rsid w:val="008661B8"/>
    <w:rsid w:val="0086660B"/>
    <w:rsid w:val="00867C1E"/>
    <w:rsid w:val="00871380"/>
    <w:rsid w:val="008720E9"/>
    <w:rsid w:val="008728D4"/>
    <w:rsid w:val="008741B2"/>
    <w:rsid w:val="0087562C"/>
    <w:rsid w:val="0087676E"/>
    <w:rsid w:val="00876D2F"/>
    <w:rsid w:val="008771B5"/>
    <w:rsid w:val="008776E2"/>
    <w:rsid w:val="00877C06"/>
    <w:rsid w:val="00877DD6"/>
    <w:rsid w:val="008826EF"/>
    <w:rsid w:val="008828BE"/>
    <w:rsid w:val="00882C07"/>
    <w:rsid w:val="00883FD4"/>
    <w:rsid w:val="00884710"/>
    <w:rsid w:val="00884D13"/>
    <w:rsid w:val="008866B1"/>
    <w:rsid w:val="0088729F"/>
    <w:rsid w:val="00890094"/>
    <w:rsid w:val="0089083F"/>
    <w:rsid w:val="008912F6"/>
    <w:rsid w:val="00892D84"/>
    <w:rsid w:val="00893368"/>
    <w:rsid w:val="008935A7"/>
    <w:rsid w:val="00894D14"/>
    <w:rsid w:val="008970D9"/>
    <w:rsid w:val="008974A4"/>
    <w:rsid w:val="008A286C"/>
    <w:rsid w:val="008A2F45"/>
    <w:rsid w:val="008A3178"/>
    <w:rsid w:val="008A3EB5"/>
    <w:rsid w:val="008A4B62"/>
    <w:rsid w:val="008A59C0"/>
    <w:rsid w:val="008A5CD6"/>
    <w:rsid w:val="008B55AE"/>
    <w:rsid w:val="008B7257"/>
    <w:rsid w:val="008B754F"/>
    <w:rsid w:val="008B7892"/>
    <w:rsid w:val="008B7F4E"/>
    <w:rsid w:val="008C0441"/>
    <w:rsid w:val="008C2A97"/>
    <w:rsid w:val="008C3A0F"/>
    <w:rsid w:val="008C74A0"/>
    <w:rsid w:val="008D1B31"/>
    <w:rsid w:val="008D1E60"/>
    <w:rsid w:val="008D2B44"/>
    <w:rsid w:val="008D3822"/>
    <w:rsid w:val="008D3E08"/>
    <w:rsid w:val="008D43DE"/>
    <w:rsid w:val="008D4605"/>
    <w:rsid w:val="008D5E06"/>
    <w:rsid w:val="008D665D"/>
    <w:rsid w:val="008D6945"/>
    <w:rsid w:val="008E1D21"/>
    <w:rsid w:val="008E2B46"/>
    <w:rsid w:val="008E3870"/>
    <w:rsid w:val="008E5F47"/>
    <w:rsid w:val="008E68B2"/>
    <w:rsid w:val="008E7E46"/>
    <w:rsid w:val="008F0F85"/>
    <w:rsid w:val="008F256F"/>
    <w:rsid w:val="008F2719"/>
    <w:rsid w:val="008F3762"/>
    <w:rsid w:val="008F3991"/>
    <w:rsid w:val="008F58BF"/>
    <w:rsid w:val="008F6393"/>
    <w:rsid w:val="008F7033"/>
    <w:rsid w:val="009002AE"/>
    <w:rsid w:val="009023F5"/>
    <w:rsid w:val="009028D7"/>
    <w:rsid w:val="00903630"/>
    <w:rsid w:val="009043BA"/>
    <w:rsid w:val="0090440A"/>
    <w:rsid w:val="00904AF0"/>
    <w:rsid w:val="00906EDF"/>
    <w:rsid w:val="009117A9"/>
    <w:rsid w:val="0091183B"/>
    <w:rsid w:val="0091501B"/>
    <w:rsid w:val="0091642E"/>
    <w:rsid w:val="00916ABE"/>
    <w:rsid w:val="0091779D"/>
    <w:rsid w:val="009230DB"/>
    <w:rsid w:val="009232E4"/>
    <w:rsid w:val="00924729"/>
    <w:rsid w:val="0092656F"/>
    <w:rsid w:val="00927A09"/>
    <w:rsid w:val="00931CE4"/>
    <w:rsid w:val="0093306E"/>
    <w:rsid w:val="00933737"/>
    <w:rsid w:val="00934987"/>
    <w:rsid w:val="00940B49"/>
    <w:rsid w:val="009414B1"/>
    <w:rsid w:val="00941B33"/>
    <w:rsid w:val="00942DEC"/>
    <w:rsid w:val="009432CB"/>
    <w:rsid w:val="00944C28"/>
    <w:rsid w:val="0094728C"/>
    <w:rsid w:val="0094789A"/>
    <w:rsid w:val="009510FA"/>
    <w:rsid w:val="009536DE"/>
    <w:rsid w:val="009543D8"/>
    <w:rsid w:val="00954E0D"/>
    <w:rsid w:val="00954F1D"/>
    <w:rsid w:val="00962201"/>
    <w:rsid w:val="00962FCE"/>
    <w:rsid w:val="009635D8"/>
    <w:rsid w:val="009636B8"/>
    <w:rsid w:val="0096514B"/>
    <w:rsid w:val="00966317"/>
    <w:rsid w:val="00966C1E"/>
    <w:rsid w:val="0097066E"/>
    <w:rsid w:val="00973F44"/>
    <w:rsid w:val="009743AE"/>
    <w:rsid w:val="00975CD7"/>
    <w:rsid w:val="0097774E"/>
    <w:rsid w:val="00980272"/>
    <w:rsid w:val="00982750"/>
    <w:rsid w:val="009838E8"/>
    <w:rsid w:val="00983B0A"/>
    <w:rsid w:val="00993DE0"/>
    <w:rsid w:val="00994356"/>
    <w:rsid w:val="0099527F"/>
    <w:rsid w:val="009A07F0"/>
    <w:rsid w:val="009A0804"/>
    <w:rsid w:val="009A0980"/>
    <w:rsid w:val="009A2416"/>
    <w:rsid w:val="009A445C"/>
    <w:rsid w:val="009A4623"/>
    <w:rsid w:val="009A49DE"/>
    <w:rsid w:val="009A4D62"/>
    <w:rsid w:val="009A556A"/>
    <w:rsid w:val="009A5E30"/>
    <w:rsid w:val="009A60E8"/>
    <w:rsid w:val="009B1299"/>
    <w:rsid w:val="009B22A2"/>
    <w:rsid w:val="009B2B54"/>
    <w:rsid w:val="009B2DCB"/>
    <w:rsid w:val="009B36BA"/>
    <w:rsid w:val="009B40F1"/>
    <w:rsid w:val="009B668E"/>
    <w:rsid w:val="009C1551"/>
    <w:rsid w:val="009C18C7"/>
    <w:rsid w:val="009C1A15"/>
    <w:rsid w:val="009C3A38"/>
    <w:rsid w:val="009C543B"/>
    <w:rsid w:val="009C57EF"/>
    <w:rsid w:val="009C7239"/>
    <w:rsid w:val="009C7D0A"/>
    <w:rsid w:val="009D0EF6"/>
    <w:rsid w:val="009D11AF"/>
    <w:rsid w:val="009D2580"/>
    <w:rsid w:val="009D3DC9"/>
    <w:rsid w:val="009D3FEF"/>
    <w:rsid w:val="009D4DFC"/>
    <w:rsid w:val="009D7F18"/>
    <w:rsid w:val="009E1404"/>
    <w:rsid w:val="009E1982"/>
    <w:rsid w:val="009E253E"/>
    <w:rsid w:val="009E2E23"/>
    <w:rsid w:val="009E5122"/>
    <w:rsid w:val="009E62F5"/>
    <w:rsid w:val="009E6DAA"/>
    <w:rsid w:val="009F0A77"/>
    <w:rsid w:val="009F1872"/>
    <w:rsid w:val="009F2293"/>
    <w:rsid w:val="009F44C1"/>
    <w:rsid w:val="009F5A74"/>
    <w:rsid w:val="009F6576"/>
    <w:rsid w:val="009F7091"/>
    <w:rsid w:val="009F7223"/>
    <w:rsid w:val="00A00073"/>
    <w:rsid w:val="00A0400B"/>
    <w:rsid w:val="00A04CB5"/>
    <w:rsid w:val="00A051C5"/>
    <w:rsid w:val="00A0522A"/>
    <w:rsid w:val="00A052F1"/>
    <w:rsid w:val="00A062EE"/>
    <w:rsid w:val="00A074CA"/>
    <w:rsid w:val="00A07D8D"/>
    <w:rsid w:val="00A12C37"/>
    <w:rsid w:val="00A16A68"/>
    <w:rsid w:val="00A17217"/>
    <w:rsid w:val="00A22901"/>
    <w:rsid w:val="00A22B84"/>
    <w:rsid w:val="00A242A4"/>
    <w:rsid w:val="00A2437A"/>
    <w:rsid w:val="00A247FB"/>
    <w:rsid w:val="00A251DC"/>
    <w:rsid w:val="00A25B79"/>
    <w:rsid w:val="00A301BD"/>
    <w:rsid w:val="00A31143"/>
    <w:rsid w:val="00A31910"/>
    <w:rsid w:val="00A31BAE"/>
    <w:rsid w:val="00A31F89"/>
    <w:rsid w:val="00A32257"/>
    <w:rsid w:val="00A34E92"/>
    <w:rsid w:val="00A35AAD"/>
    <w:rsid w:val="00A35E4D"/>
    <w:rsid w:val="00A376CF"/>
    <w:rsid w:val="00A415D3"/>
    <w:rsid w:val="00A433DE"/>
    <w:rsid w:val="00A4476B"/>
    <w:rsid w:val="00A44771"/>
    <w:rsid w:val="00A44806"/>
    <w:rsid w:val="00A44AAD"/>
    <w:rsid w:val="00A53755"/>
    <w:rsid w:val="00A549B2"/>
    <w:rsid w:val="00A557A2"/>
    <w:rsid w:val="00A60B15"/>
    <w:rsid w:val="00A61592"/>
    <w:rsid w:val="00A655DE"/>
    <w:rsid w:val="00A670C4"/>
    <w:rsid w:val="00A70651"/>
    <w:rsid w:val="00A7346A"/>
    <w:rsid w:val="00A73D5C"/>
    <w:rsid w:val="00A759FE"/>
    <w:rsid w:val="00A764EE"/>
    <w:rsid w:val="00A76F5E"/>
    <w:rsid w:val="00A803F3"/>
    <w:rsid w:val="00A804AB"/>
    <w:rsid w:val="00A81DDD"/>
    <w:rsid w:val="00A823C8"/>
    <w:rsid w:val="00A8568B"/>
    <w:rsid w:val="00A87080"/>
    <w:rsid w:val="00A87679"/>
    <w:rsid w:val="00A90D6A"/>
    <w:rsid w:val="00A91F02"/>
    <w:rsid w:val="00A952C8"/>
    <w:rsid w:val="00A96DC3"/>
    <w:rsid w:val="00A974F3"/>
    <w:rsid w:val="00AA15D2"/>
    <w:rsid w:val="00AA4B8F"/>
    <w:rsid w:val="00AA6AEC"/>
    <w:rsid w:val="00AA7242"/>
    <w:rsid w:val="00AA781D"/>
    <w:rsid w:val="00AB0999"/>
    <w:rsid w:val="00AB2B70"/>
    <w:rsid w:val="00AB6372"/>
    <w:rsid w:val="00AB67AA"/>
    <w:rsid w:val="00AC05DC"/>
    <w:rsid w:val="00AC0DD7"/>
    <w:rsid w:val="00AC1AFE"/>
    <w:rsid w:val="00AC2375"/>
    <w:rsid w:val="00AC3A2A"/>
    <w:rsid w:val="00AC3EF3"/>
    <w:rsid w:val="00AC4DD4"/>
    <w:rsid w:val="00AD08E1"/>
    <w:rsid w:val="00AD0E7E"/>
    <w:rsid w:val="00AD32D8"/>
    <w:rsid w:val="00AD4575"/>
    <w:rsid w:val="00AD54E0"/>
    <w:rsid w:val="00AD5ACD"/>
    <w:rsid w:val="00AD66D8"/>
    <w:rsid w:val="00AD735C"/>
    <w:rsid w:val="00AD7A3F"/>
    <w:rsid w:val="00AE0591"/>
    <w:rsid w:val="00AE0E30"/>
    <w:rsid w:val="00AE1EEE"/>
    <w:rsid w:val="00AE2AEE"/>
    <w:rsid w:val="00AE38C5"/>
    <w:rsid w:val="00AE4852"/>
    <w:rsid w:val="00AE5085"/>
    <w:rsid w:val="00AE5A46"/>
    <w:rsid w:val="00AE79A9"/>
    <w:rsid w:val="00AF0E14"/>
    <w:rsid w:val="00AF2B9A"/>
    <w:rsid w:val="00AF444E"/>
    <w:rsid w:val="00AF6D06"/>
    <w:rsid w:val="00AF7246"/>
    <w:rsid w:val="00B0009F"/>
    <w:rsid w:val="00B00467"/>
    <w:rsid w:val="00B00E1F"/>
    <w:rsid w:val="00B03779"/>
    <w:rsid w:val="00B04450"/>
    <w:rsid w:val="00B06F5A"/>
    <w:rsid w:val="00B10235"/>
    <w:rsid w:val="00B11EA6"/>
    <w:rsid w:val="00B12D5F"/>
    <w:rsid w:val="00B13064"/>
    <w:rsid w:val="00B13FF5"/>
    <w:rsid w:val="00B1548D"/>
    <w:rsid w:val="00B163D2"/>
    <w:rsid w:val="00B163D9"/>
    <w:rsid w:val="00B20BF8"/>
    <w:rsid w:val="00B20CC7"/>
    <w:rsid w:val="00B2443F"/>
    <w:rsid w:val="00B24698"/>
    <w:rsid w:val="00B25BAA"/>
    <w:rsid w:val="00B26CDE"/>
    <w:rsid w:val="00B27184"/>
    <w:rsid w:val="00B2751E"/>
    <w:rsid w:val="00B2768E"/>
    <w:rsid w:val="00B27DBA"/>
    <w:rsid w:val="00B31C25"/>
    <w:rsid w:val="00B3248E"/>
    <w:rsid w:val="00B3268E"/>
    <w:rsid w:val="00B32C0A"/>
    <w:rsid w:val="00B33909"/>
    <w:rsid w:val="00B34F09"/>
    <w:rsid w:val="00B36869"/>
    <w:rsid w:val="00B36D90"/>
    <w:rsid w:val="00B37838"/>
    <w:rsid w:val="00B42C30"/>
    <w:rsid w:val="00B43B1F"/>
    <w:rsid w:val="00B4561C"/>
    <w:rsid w:val="00B45E16"/>
    <w:rsid w:val="00B46C8B"/>
    <w:rsid w:val="00B47C1E"/>
    <w:rsid w:val="00B52462"/>
    <w:rsid w:val="00B541D8"/>
    <w:rsid w:val="00B547D6"/>
    <w:rsid w:val="00B5502F"/>
    <w:rsid w:val="00B5582B"/>
    <w:rsid w:val="00B56BD1"/>
    <w:rsid w:val="00B5759C"/>
    <w:rsid w:val="00B613BD"/>
    <w:rsid w:val="00B619E2"/>
    <w:rsid w:val="00B620E2"/>
    <w:rsid w:val="00B640F5"/>
    <w:rsid w:val="00B651A3"/>
    <w:rsid w:val="00B65FD8"/>
    <w:rsid w:val="00B675AC"/>
    <w:rsid w:val="00B67899"/>
    <w:rsid w:val="00B71D3A"/>
    <w:rsid w:val="00B71FC6"/>
    <w:rsid w:val="00B741E4"/>
    <w:rsid w:val="00B76894"/>
    <w:rsid w:val="00B76C2C"/>
    <w:rsid w:val="00B805AC"/>
    <w:rsid w:val="00B8258E"/>
    <w:rsid w:val="00B825AA"/>
    <w:rsid w:val="00B8291B"/>
    <w:rsid w:val="00B84745"/>
    <w:rsid w:val="00B855ED"/>
    <w:rsid w:val="00B862E6"/>
    <w:rsid w:val="00B90270"/>
    <w:rsid w:val="00B90848"/>
    <w:rsid w:val="00B9182B"/>
    <w:rsid w:val="00B93CA8"/>
    <w:rsid w:val="00B9457C"/>
    <w:rsid w:val="00B94E48"/>
    <w:rsid w:val="00B977C6"/>
    <w:rsid w:val="00B97A10"/>
    <w:rsid w:val="00BA0877"/>
    <w:rsid w:val="00BA0CB9"/>
    <w:rsid w:val="00BA0D84"/>
    <w:rsid w:val="00BA14A4"/>
    <w:rsid w:val="00BA5A4A"/>
    <w:rsid w:val="00BA5D22"/>
    <w:rsid w:val="00BA6896"/>
    <w:rsid w:val="00BA7BE9"/>
    <w:rsid w:val="00BB0484"/>
    <w:rsid w:val="00BB0F46"/>
    <w:rsid w:val="00BB2469"/>
    <w:rsid w:val="00BB4E63"/>
    <w:rsid w:val="00BB67DC"/>
    <w:rsid w:val="00BB75E3"/>
    <w:rsid w:val="00BB7DC2"/>
    <w:rsid w:val="00BC0FC4"/>
    <w:rsid w:val="00BC1B36"/>
    <w:rsid w:val="00BC35D5"/>
    <w:rsid w:val="00BC3D71"/>
    <w:rsid w:val="00BC3EE9"/>
    <w:rsid w:val="00BC4E24"/>
    <w:rsid w:val="00BC620C"/>
    <w:rsid w:val="00BC7553"/>
    <w:rsid w:val="00BD1AE5"/>
    <w:rsid w:val="00BD2592"/>
    <w:rsid w:val="00BD3D78"/>
    <w:rsid w:val="00BD49AC"/>
    <w:rsid w:val="00BD5490"/>
    <w:rsid w:val="00BD6485"/>
    <w:rsid w:val="00BD7B73"/>
    <w:rsid w:val="00BE0371"/>
    <w:rsid w:val="00BE3608"/>
    <w:rsid w:val="00BE441B"/>
    <w:rsid w:val="00BE4663"/>
    <w:rsid w:val="00BE5CE4"/>
    <w:rsid w:val="00BE6886"/>
    <w:rsid w:val="00BF04DC"/>
    <w:rsid w:val="00BF05B1"/>
    <w:rsid w:val="00BF0C3F"/>
    <w:rsid w:val="00BF2544"/>
    <w:rsid w:val="00BF277B"/>
    <w:rsid w:val="00BF4876"/>
    <w:rsid w:val="00BF4ACA"/>
    <w:rsid w:val="00BF5192"/>
    <w:rsid w:val="00C01E74"/>
    <w:rsid w:val="00C026F8"/>
    <w:rsid w:val="00C03008"/>
    <w:rsid w:val="00C03EB1"/>
    <w:rsid w:val="00C04AE8"/>
    <w:rsid w:val="00C05595"/>
    <w:rsid w:val="00C10C49"/>
    <w:rsid w:val="00C137AF"/>
    <w:rsid w:val="00C13F0C"/>
    <w:rsid w:val="00C16F2B"/>
    <w:rsid w:val="00C2102D"/>
    <w:rsid w:val="00C222E1"/>
    <w:rsid w:val="00C24067"/>
    <w:rsid w:val="00C247BA"/>
    <w:rsid w:val="00C258E0"/>
    <w:rsid w:val="00C27B76"/>
    <w:rsid w:val="00C30EA1"/>
    <w:rsid w:val="00C32952"/>
    <w:rsid w:val="00C32AB8"/>
    <w:rsid w:val="00C34464"/>
    <w:rsid w:val="00C34577"/>
    <w:rsid w:val="00C354E1"/>
    <w:rsid w:val="00C374E1"/>
    <w:rsid w:val="00C37F88"/>
    <w:rsid w:val="00C422E9"/>
    <w:rsid w:val="00C460C2"/>
    <w:rsid w:val="00C462B8"/>
    <w:rsid w:val="00C47829"/>
    <w:rsid w:val="00C50B4F"/>
    <w:rsid w:val="00C51A4B"/>
    <w:rsid w:val="00C548C6"/>
    <w:rsid w:val="00C54FA2"/>
    <w:rsid w:val="00C563BF"/>
    <w:rsid w:val="00C56417"/>
    <w:rsid w:val="00C570FD"/>
    <w:rsid w:val="00C57AA9"/>
    <w:rsid w:val="00C60813"/>
    <w:rsid w:val="00C60E80"/>
    <w:rsid w:val="00C62763"/>
    <w:rsid w:val="00C62A0F"/>
    <w:rsid w:val="00C64480"/>
    <w:rsid w:val="00C65AF8"/>
    <w:rsid w:val="00C6665F"/>
    <w:rsid w:val="00C70708"/>
    <w:rsid w:val="00C71958"/>
    <w:rsid w:val="00C724E0"/>
    <w:rsid w:val="00C72B6E"/>
    <w:rsid w:val="00C762D0"/>
    <w:rsid w:val="00C765AF"/>
    <w:rsid w:val="00C77260"/>
    <w:rsid w:val="00C77AB9"/>
    <w:rsid w:val="00C80D65"/>
    <w:rsid w:val="00C8137C"/>
    <w:rsid w:val="00C81C16"/>
    <w:rsid w:val="00C823BC"/>
    <w:rsid w:val="00C82869"/>
    <w:rsid w:val="00C8332E"/>
    <w:rsid w:val="00C84296"/>
    <w:rsid w:val="00C8468B"/>
    <w:rsid w:val="00C901F9"/>
    <w:rsid w:val="00C91489"/>
    <w:rsid w:val="00C918F4"/>
    <w:rsid w:val="00C91CB2"/>
    <w:rsid w:val="00C933D9"/>
    <w:rsid w:val="00C964A6"/>
    <w:rsid w:val="00C96C1C"/>
    <w:rsid w:val="00C9705D"/>
    <w:rsid w:val="00CA0636"/>
    <w:rsid w:val="00CA7ADC"/>
    <w:rsid w:val="00CB0521"/>
    <w:rsid w:val="00CB1C95"/>
    <w:rsid w:val="00CB20BF"/>
    <w:rsid w:val="00CB3547"/>
    <w:rsid w:val="00CB3748"/>
    <w:rsid w:val="00CB55F9"/>
    <w:rsid w:val="00CB58D5"/>
    <w:rsid w:val="00CB7C68"/>
    <w:rsid w:val="00CC0063"/>
    <w:rsid w:val="00CC2CD7"/>
    <w:rsid w:val="00CC36AD"/>
    <w:rsid w:val="00CC4528"/>
    <w:rsid w:val="00CC4795"/>
    <w:rsid w:val="00CD1E8E"/>
    <w:rsid w:val="00CD245A"/>
    <w:rsid w:val="00CD24B3"/>
    <w:rsid w:val="00CD42B8"/>
    <w:rsid w:val="00CD42F2"/>
    <w:rsid w:val="00CD4A59"/>
    <w:rsid w:val="00CD4B11"/>
    <w:rsid w:val="00CD5326"/>
    <w:rsid w:val="00CD6B05"/>
    <w:rsid w:val="00CE0693"/>
    <w:rsid w:val="00CE1DA9"/>
    <w:rsid w:val="00CE1DC6"/>
    <w:rsid w:val="00CE1EB1"/>
    <w:rsid w:val="00CE3113"/>
    <w:rsid w:val="00CE31FB"/>
    <w:rsid w:val="00CE375A"/>
    <w:rsid w:val="00CE4B35"/>
    <w:rsid w:val="00CE4C08"/>
    <w:rsid w:val="00CE7B2A"/>
    <w:rsid w:val="00CF18E2"/>
    <w:rsid w:val="00CF261C"/>
    <w:rsid w:val="00CF2709"/>
    <w:rsid w:val="00CF2DF7"/>
    <w:rsid w:val="00CF380E"/>
    <w:rsid w:val="00CF4A63"/>
    <w:rsid w:val="00CF5085"/>
    <w:rsid w:val="00CF7875"/>
    <w:rsid w:val="00D03B3C"/>
    <w:rsid w:val="00D048AA"/>
    <w:rsid w:val="00D0561A"/>
    <w:rsid w:val="00D06DDC"/>
    <w:rsid w:val="00D076C0"/>
    <w:rsid w:val="00D07DF6"/>
    <w:rsid w:val="00D101E9"/>
    <w:rsid w:val="00D10C7D"/>
    <w:rsid w:val="00D11B09"/>
    <w:rsid w:val="00D122A2"/>
    <w:rsid w:val="00D12D1D"/>
    <w:rsid w:val="00D13CEF"/>
    <w:rsid w:val="00D159C8"/>
    <w:rsid w:val="00D16665"/>
    <w:rsid w:val="00D20629"/>
    <w:rsid w:val="00D223F9"/>
    <w:rsid w:val="00D2251F"/>
    <w:rsid w:val="00D242F1"/>
    <w:rsid w:val="00D24DB0"/>
    <w:rsid w:val="00D27668"/>
    <w:rsid w:val="00D332BB"/>
    <w:rsid w:val="00D34B07"/>
    <w:rsid w:val="00D40F88"/>
    <w:rsid w:val="00D40F8F"/>
    <w:rsid w:val="00D431A5"/>
    <w:rsid w:val="00D4642F"/>
    <w:rsid w:val="00D50C66"/>
    <w:rsid w:val="00D520FC"/>
    <w:rsid w:val="00D5242A"/>
    <w:rsid w:val="00D55C7B"/>
    <w:rsid w:val="00D55E88"/>
    <w:rsid w:val="00D562D6"/>
    <w:rsid w:val="00D56547"/>
    <w:rsid w:val="00D6047B"/>
    <w:rsid w:val="00D60DFD"/>
    <w:rsid w:val="00D657C5"/>
    <w:rsid w:val="00D70407"/>
    <w:rsid w:val="00D7097B"/>
    <w:rsid w:val="00D735DA"/>
    <w:rsid w:val="00D73C32"/>
    <w:rsid w:val="00D75DAE"/>
    <w:rsid w:val="00D769F4"/>
    <w:rsid w:val="00D77630"/>
    <w:rsid w:val="00D802D8"/>
    <w:rsid w:val="00D81023"/>
    <w:rsid w:val="00D81334"/>
    <w:rsid w:val="00D83031"/>
    <w:rsid w:val="00D84E5D"/>
    <w:rsid w:val="00D86E67"/>
    <w:rsid w:val="00D875E7"/>
    <w:rsid w:val="00D87618"/>
    <w:rsid w:val="00D8767F"/>
    <w:rsid w:val="00D8790C"/>
    <w:rsid w:val="00D906FE"/>
    <w:rsid w:val="00D91E25"/>
    <w:rsid w:val="00D92843"/>
    <w:rsid w:val="00D92AD2"/>
    <w:rsid w:val="00D92BD1"/>
    <w:rsid w:val="00D939AE"/>
    <w:rsid w:val="00D93C1E"/>
    <w:rsid w:val="00D94520"/>
    <w:rsid w:val="00D9656D"/>
    <w:rsid w:val="00D96ED1"/>
    <w:rsid w:val="00DA13D9"/>
    <w:rsid w:val="00DA4377"/>
    <w:rsid w:val="00DB4A1C"/>
    <w:rsid w:val="00DB5058"/>
    <w:rsid w:val="00DB672C"/>
    <w:rsid w:val="00DB69A8"/>
    <w:rsid w:val="00DB791F"/>
    <w:rsid w:val="00DB7A35"/>
    <w:rsid w:val="00DC2820"/>
    <w:rsid w:val="00DC3D80"/>
    <w:rsid w:val="00DC3FBB"/>
    <w:rsid w:val="00DC62A6"/>
    <w:rsid w:val="00DC70DD"/>
    <w:rsid w:val="00DD0688"/>
    <w:rsid w:val="00DD0D53"/>
    <w:rsid w:val="00DD3073"/>
    <w:rsid w:val="00DD400B"/>
    <w:rsid w:val="00DD56FE"/>
    <w:rsid w:val="00DE0542"/>
    <w:rsid w:val="00DE11FF"/>
    <w:rsid w:val="00DE2689"/>
    <w:rsid w:val="00DE32E8"/>
    <w:rsid w:val="00DE4FC8"/>
    <w:rsid w:val="00DE634D"/>
    <w:rsid w:val="00DE652F"/>
    <w:rsid w:val="00DF0453"/>
    <w:rsid w:val="00DF1536"/>
    <w:rsid w:val="00DF15F9"/>
    <w:rsid w:val="00DF1B99"/>
    <w:rsid w:val="00DF31E6"/>
    <w:rsid w:val="00DF40AA"/>
    <w:rsid w:val="00DF55C6"/>
    <w:rsid w:val="00DF6779"/>
    <w:rsid w:val="00DF6AE1"/>
    <w:rsid w:val="00DF7EB4"/>
    <w:rsid w:val="00E00135"/>
    <w:rsid w:val="00E00BBC"/>
    <w:rsid w:val="00E020E2"/>
    <w:rsid w:val="00E051BC"/>
    <w:rsid w:val="00E07264"/>
    <w:rsid w:val="00E1336B"/>
    <w:rsid w:val="00E14BE0"/>
    <w:rsid w:val="00E20B9D"/>
    <w:rsid w:val="00E21867"/>
    <w:rsid w:val="00E22CF2"/>
    <w:rsid w:val="00E245EE"/>
    <w:rsid w:val="00E25485"/>
    <w:rsid w:val="00E26036"/>
    <w:rsid w:val="00E30843"/>
    <w:rsid w:val="00E310AC"/>
    <w:rsid w:val="00E3324F"/>
    <w:rsid w:val="00E344B6"/>
    <w:rsid w:val="00E3457E"/>
    <w:rsid w:val="00E34BDD"/>
    <w:rsid w:val="00E3556F"/>
    <w:rsid w:val="00E3584C"/>
    <w:rsid w:val="00E36FB8"/>
    <w:rsid w:val="00E40434"/>
    <w:rsid w:val="00E4072B"/>
    <w:rsid w:val="00E4400D"/>
    <w:rsid w:val="00E4696C"/>
    <w:rsid w:val="00E46A4D"/>
    <w:rsid w:val="00E512DE"/>
    <w:rsid w:val="00E53DC5"/>
    <w:rsid w:val="00E556D8"/>
    <w:rsid w:val="00E571E8"/>
    <w:rsid w:val="00E572CF"/>
    <w:rsid w:val="00E61635"/>
    <w:rsid w:val="00E6206C"/>
    <w:rsid w:val="00E646EC"/>
    <w:rsid w:val="00E64EAF"/>
    <w:rsid w:val="00E72E09"/>
    <w:rsid w:val="00E72F00"/>
    <w:rsid w:val="00E736E0"/>
    <w:rsid w:val="00E7454E"/>
    <w:rsid w:val="00E76F2F"/>
    <w:rsid w:val="00E800BC"/>
    <w:rsid w:val="00E80D53"/>
    <w:rsid w:val="00E82289"/>
    <w:rsid w:val="00E825D8"/>
    <w:rsid w:val="00E8389B"/>
    <w:rsid w:val="00E85BBB"/>
    <w:rsid w:val="00E86D88"/>
    <w:rsid w:val="00E91906"/>
    <w:rsid w:val="00E91AEB"/>
    <w:rsid w:val="00E936A8"/>
    <w:rsid w:val="00E93BE0"/>
    <w:rsid w:val="00E97B7E"/>
    <w:rsid w:val="00EA0A0B"/>
    <w:rsid w:val="00EA0D8A"/>
    <w:rsid w:val="00EA0E69"/>
    <w:rsid w:val="00EA322F"/>
    <w:rsid w:val="00EA4CA8"/>
    <w:rsid w:val="00EA5150"/>
    <w:rsid w:val="00EA5DEC"/>
    <w:rsid w:val="00EA6444"/>
    <w:rsid w:val="00EA7906"/>
    <w:rsid w:val="00EB1B5F"/>
    <w:rsid w:val="00EB2AB4"/>
    <w:rsid w:val="00EB32A1"/>
    <w:rsid w:val="00EB486D"/>
    <w:rsid w:val="00EB53CE"/>
    <w:rsid w:val="00EB5450"/>
    <w:rsid w:val="00EB55D5"/>
    <w:rsid w:val="00EB59D0"/>
    <w:rsid w:val="00EB70C9"/>
    <w:rsid w:val="00EB78A1"/>
    <w:rsid w:val="00EC1431"/>
    <w:rsid w:val="00EC1AFD"/>
    <w:rsid w:val="00EC1B7C"/>
    <w:rsid w:val="00EC26EA"/>
    <w:rsid w:val="00EC5C06"/>
    <w:rsid w:val="00EC5C91"/>
    <w:rsid w:val="00EC637E"/>
    <w:rsid w:val="00EC7211"/>
    <w:rsid w:val="00ED25CC"/>
    <w:rsid w:val="00ED2F74"/>
    <w:rsid w:val="00ED342A"/>
    <w:rsid w:val="00ED36DD"/>
    <w:rsid w:val="00ED742D"/>
    <w:rsid w:val="00EE110A"/>
    <w:rsid w:val="00EE259B"/>
    <w:rsid w:val="00EE2CC1"/>
    <w:rsid w:val="00EE326F"/>
    <w:rsid w:val="00EE38F0"/>
    <w:rsid w:val="00EE39CF"/>
    <w:rsid w:val="00EE3DC5"/>
    <w:rsid w:val="00EE5395"/>
    <w:rsid w:val="00EE55FE"/>
    <w:rsid w:val="00EE604C"/>
    <w:rsid w:val="00EE6219"/>
    <w:rsid w:val="00EE7ACA"/>
    <w:rsid w:val="00EE7D3B"/>
    <w:rsid w:val="00EF490E"/>
    <w:rsid w:val="00EF5BF9"/>
    <w:rsid w:val="00EF7842"/>
    <w:rsid w:val="00F00DF2"/>
    <w:rsid w:val="00F00FBD"/>
    <w:rsid w:val="00F01015"/>
    <w:rsid w:val="00F018E3"/>
    <w:rsid w:val="00F020D4"/>
    <w:rsid w:val="00F0293F"/>
    <w:rsid w:val="00F03A3F"/>
    <w:rsid w:val="00F03FF2"/>
    <w:rsid w:val="00F063A9"/>
    <w:rsid w:val="00F06C03"/>
    <w:rsid w:val="00F07751"/>
    <w:rsid w:val="00F07B04"/>
    <w:rsid w:val="00F12F2D"/>
    <w:rsid w:val="00F136D0"/>
    <w:rsid w:val="00F1493E"/>
    <w:rsid w:val="00F150EF"/>
    <w:rsid w:val="00F15250"/>
    <w:rsid w:val="00F2001C"/>
    <w:rsid w:val="00F20624"/>
    <w:rsid w:val="00F2104D"/>
    <w:rsid w:val="00F228EB"/>
    <w:rsid w:val="00F233B6"/>
    <w:rsid w:val="00F2375E"/>
    <w:rsid w:val="00F2403A"/>
    <w:rsid w:val="00F259F2"/>
    <w:rsid w:val="00F259F8"/>
    <w:rsid w:val="00F268F0"/>
    <w:rsid w:val="00F317EE"/>
    <w:rsid w:val="00F3287E"/>
    <w:rsid w:val="00F34925"/>
    <w:rsid w:val="00F34CB5"/>
    <w:rsid w:val="00F3701E"/>
    <w:rsid w:val="00F410C1"/>
    <w:rsid w:val="00F414B7"/>
    <w:rsid w:val="00F424F3"/>
    <w:rsid w:val="00F4714D"/>
    <w:rsid w:val="00F47DE9"/>
    <w:rsid w:val="00F509D6"/>
    <w:rsid w:val="00F51082"/>
    <w:rsid w:val="00F525AE"/>
    <w:rsid w:val="00F52F5F"/>
    <w:rsid w:val="00F534B2"/>
    <w:rsid w:val="00F57219"/>
    <w:rsid w:val="00F573B6"/>
    <w:rsid w:val="00F577D9"/>
    <w:rsid w:val="00F6175D"/>
    <w:rsid w:val="00F630C6"/>
    <w:rsid w:val="00F632D3"/>
    <w:rsid w:val="00F6360B"/>
    <w:rsid w:val="00F63D49"/>
    <w:rsid w:val="00F662ED"/>
    <w:rsid w:val="00F66A15"/>
    <w:rsid w:val="00F70BC0"/>
    <w:rsid w:val="00F71B18"/>
    <w:rsid w:val="00F7370E"/>
    <w:rsid w:val="00F772A2"/>
    <w:rsid w:val="00F80B12"/>
    <w:rsid w:val="00F81269"/>
    <w:rsid w:val="00F82498"/>
    <w:rsid w:val="00F826E5"/>
    <w:rsid w:val="00F82DDA"/>
    <w:rsid w:val="00F8464C"/>
    <w:rsid w:val="00F856F9"/>
    <w:rsid w:val="00F85F5C"/>
    <w:rsid w:val="00F86823"/>
    <w:rsid w:val="00F86CEE"/>
    <w:rsid w:val="00F86D17"/>
    <w:rsid w:val="00F9149A"/>
    <w:rsid w:val="00F9186F"/>
    <w:rsid w:val="00F91A73"/>
    <w:rsid w:val="00F93BFD"/>
    <w:rsid w:val="00F93C5A"/>
    <w:rsid w:val="00F962D0"/>
    <w:rsid w:val="00FA0AA3"/>
    <w:rsid w:val="00FA0BC0"/>
    <w:rsid w:val="00FA1FB6"/>
    <w:rsid w:val="00FA2879"/>
    <w:rsid w:val="00FA344D"/>
    <w:rsid w:val="00FA55FB"/>
    <w:rsid w:val="00FA757A"/>
    <w:rsid w:val="00FA7A74"/>
    <w:rsid w:val="00FA7E32"/>
    <w:rsid w:val="00FA7ED6"/>
    <w:rsid w:val="00FA7F4D"/>
    <w:rsid w:val="00FB18B8"/>
    <w:rsid w:val="00FB32DC"/>
    <w:rsid w:val="00FB39AF"/>
    <w:rsid w:val="00FB5532"/>
    <w:rsid w:val="00FC04CB"/>
    <w:rsid w:val="00FC05A5"/>
    <w:rsid w:val="00FC0604"/>
    <w:rsid w:val="00FC0F87"/>
    <w:rsid w:val="00FC1D85"/>
    <w:rsid w:val="00FC3C3B"/>
    <w:rsid w:val="00FC5D51"/>
    <w:rsid w:val="00FC7B07"/>
    <w:rsid w:val="00FD165F"/>
    <w:rsid w:val="00FD533B"/>
    <w:rsid w:val="00FD6572"/>
    <w:rsid w:val="00FD7817"/>
    <w:rsid w:val="00FD7AFB"/>
    <w:rsid w:val="00FD7F91"/>
    <w:rsid w:val="00FE07B8"/>
    <w:rsid w:val="00FE0BCB"/>
    <w:rsid w:val="00FE2194"/>
    <w:rsid w:val="00FE3525"/>
    <w:rsid w:val="00FE3C7C"/>
    <w:rsid w:val="00FE3E63"/>
    <w:rsid w:val="00FE4E02"/>
    <w:rsid w:val="00FE5484"/>
    <w:rsid w:val="00FF0145"/>
    <w:rsid w:val="00FF3002"/>
    <w:rsid w:val="00FF34C9"/>
    <w:rsid w:val="00FF3A83"/>
    <w:rsid w:val="00FF4A34"/>
    <w:rsid w:val="03E92363"/>
    <w:rsid w:val="04CE420B"/>
    <w:rsid w:val="059ADBBA"/>
    <w:rsid w:val="05C1E2C4"/>
    <w:rsid w:val="06E562FA"/>
    <w:rsid w:val="070E7891"/>
    <w:rsid w:val="0A012FF0"/>
    <w:rsid w:val="0B9E29DD"/>
    <w:rsid w:val="0E2C00A9"/>
    <w:rsid w:val="0F54383B"/>
    <w:rsid w:val="11171369"/>
    <w:rsid w:val="1274165F"/>
    <w:rsid w:val="133356C5"/>
    <w:rsid w:val="13CCDF91"/>
    <w:rsid w:val="1465BA7E"/>
    <w:rsid w:val="146B021F"/>
    <w:rsid w:val="14A1F184"/>
    <w:rsid w:val="165EC2A0"/>
    <w:rsid w:val="16EC663B"/>
    <w:rsid w:val="16F5E0D7"/>
    <w:rsid w:val="18113E07"/>
    <w:rsid w:val="199389E9"/>
    <w:rsid w:val="1BC66ECE"/>
    <w:rsid w:val="1F2F6147"/>
    <w:rsid w:val="219B0C16"/>
    <w:rsid w:val="228F8899"/>
    <w:rsid w:val="248189C6"/>
    <w:rsid w:val="258A5951"/>
    <w:rsid w:val="25E9C92C"/>
    <w:rsid w:val="261E1730"/>
    <w:rsid w:val="264E4986"/>
    <w:rsid w:val="2682C2BE"/>
    <w:rsid w:val="2B60340D"/>
    <w:rsid w:val="2BFF5A3C"/>
    <w:rsid w:val="2C285CE7"/>
    <w:rsid w:val="2E3E476C"/>
    <w:rsid w:val="2F22DD23"/>
    <w:rsid w:val="2F90A62B"/>
    <w:rsid w:val="3504A509"/>
    <w:rsid w:val="36C599F4"/>
    <w:rsid w:val="36CFAEF8"/>
    <w:rsid w:val="392E0956"/>
    <w:rsid w:val="397DB4B0"/>
    <w:rsid w:val="3A3BA78F"/>
    <w:rsid w:val="3BDC275D"/>
    <w:rsid w:val="3CE2BAA0"/>
    <w:rsid w:val="3D5AF0AC"/>
    <w:rsid w:val="3DE47CE1"/>
    <w:rsid w:val="3FC5EAD6"/>
    <w:rsid w:val="414B40B5"/>
    <w:rsid w:val="42959434"/>
    <w:rsid w:val="42A95B37"/>
    <w:rsid w:val="42ACDA2B"/>
    <w:rsid w:val="44CF5060"/>
    <w:rsid w:val="455A45E6"/>
    <w:rsid w:val="470277CB"/>
    <w:rsid w:val="478B03A2"/>
    <w:rsid w:val="47D80E5D"/>
    <w:rsid w:val="48A67162"/>
    <w:rsid w:val="4B4CCCCD"/>
    <w:rsid w:val="4D867EBE"/>
    <w:rsid w:val="509781D7"/>
    <w:rsid w:val="513ED2FD"/>
    <w:rsid w:val="54A88E18"/>
    <w:rsid w:val="5CB4BB33"/>
    <w:rsid w:val="5DFE2D00"/>
    <w:rsid w:val="5EE890A7"/>
    <w:rsid w:val="5EE91359"/>
    <w:rsid w:val="5EE9F678"/>
    <w:rsid w:val="5F740ADC"/>
    <w:rsid w:val="60CB92FD"/>
    <w:rsid w:val="61203CFB"/>
    <w:rsid w:val="62214D37"/>
    <w:rsid w:val="627FDC57"/>
    <w:rsid w:val="65072CE8"/>
    <w:rsid w:val="66CC22FA"/>
    <w:rsid w:val="6743E6AB"/>
    <w:rsid w:val="67D456C1"/>
    <w:rsid w:val="687979B2"/>
    <w:rsid w:val="6BC0F763"/>
    <w:rsid w:val="6D3B6AEE"/>
    <w:rsid w:val="6DA6B046"/>
    <w:rsid w:val="6E5925F9"/>
    <w:rsid w:val="6F48781F"/>
    <w:rsid w:val="7325C575"/>
    <w:rsid w:val="747F882A"/>
    <w:rsid w:val="74992E21"/>
    <w:rsid w:val="75CA481E"/>
    <w:rsid w:val="7887AA41"/>
    <w:rsid w:val="7B0B533A"/>
    <w:rsid w:val="7DE42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E2EE8D"/>
  <w14:defaultImageDpi w14:val="300"/>
  <w15:chartTrackingRefBased/>
  <w15:docId w15:val="{108CDCED-E77B-47E8-AE88-ADD48FB6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DE3"/>
    <w:pPr>
      <w:spacing w:after="200"/>
    </w:pPr>
    <w:rPr>
      <w:rFonts w:ascii="Times New Roman" w:hAnsi="Times New Roman"/>
      <w:sz w:val="22"/>
      <w:szCs w:val="22"/>
      <w:lang w:eastAsia="en-US"/>
    </w:rPr>
  </w:style>
  <w:style w:type="paragraph" w:styleId="Heading1">
    <w:name w:val="heading 1"/>
    <w:basedOn w:val="Normal"/>
    <w:next w:val="Normal"/>
    <w:qFormat/>
    <w:rsid w:val="00663DE3"/>
    <w:pPr>
      <w:keepNext/>
      <w:spacing w:before="240" w:after="60"/>
      <w:outlineLvl w:val="0"/>
    </w:pPr>
    <w:rPr>
      <w:rFonts w:cs="Arial"/>
      <w:b/>
      <w:bCs/>
      <w:kern w:val="32"/>
      <w:sz w:val="24"/>
      <w:szCs w:val="32"/>
    </w:rPr>
  </w:style>
  <w:style w:type="paragraph" w:styleId="Heading2">
    <w:name w:val="heading 2"/>
    <w:basedOn w:val="Normal"/>
    <w:next w:val="Normal"/>
    <w:qFormat/>
    <w:rsid w:val="00663DE3"/>
    <w:pPr>
      <w:keepNext/>
      <w:spacing w:before="240" w:after="60"/>
      <w:outlineLvl w:val="1"/>
    </w:pPr>
    <w:rPr>
      <w:rFonts w:cs="Arial"/>
      <w:bCs/>
      <w:i/>
      <w:iCs/>
      <w:sz w:val="24"/>
      <w:szCs w:val="28"/>
    </w:rPr>
  </w:style>
  <w:style w:type="paragraph" w:styleId="Heading3">
    <w:name w:val="heading 3"/>
    <w:basedOn w:val="Normal"/>
    <w:next w:val="Normal"/>
    <w:qFormat/>
    <w:rsid w:val="00AE0E30"/>
    <w:pPr>
      <w:keepNext/>
      <w:spacing w:before="240" w:after="60"/>
      <w:ind w:left="720"/>
      <w:outlineLvl w:val="2"/>
    </w:pPr>
    <w:rPr>
      <w:rFonts w:cs="Arial"/>
      <w:bCs/>
      <w:i/>
      <w:szCs w:val="26"/>
    </w:rPr>
  </w:style>
  <w:style w:type="paragraph" w:styleId="Heading4">
    <w:name w:val="heading 4"/>
    <w:basedOn w:val="Normal"/>
    <w:next w:val="Normal"/>
    <w:qFormat/>
    <w:rsid w:val="009B40F1"/>
    <w:pPr>
      <w:keepNext/>
      <w:spacing w:before="240" w:after="60"/>
      <w:outlineLvl w:val="3"/>
    </w:pPr>
    <w:rPr>
      <w:b/>
      <w:bCs/>
      <w:sz w:val="28"/>
      <w:szCs w:val="28"/>
    </w:rPr>
  </w:style>
  <w:style w:type="paragraph" w:styleId="Heading5">
    <w:name w:val="heading 5"/>
    <w:basedOn w:val="Normal"/>
    <w:next w:val="Normal"/>
    <w:qFormat/>
    <w:locked/>
    <w:rsid w:val="009B40F1"/>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BF0C3F"/>
    <w:rPr>
      <w:color w:val="0000FF"/>
      <w:u w:val="single"/>
    </w:rPr>
  </w:style>
  <w:style w:type="paragraph" w:styleId="BalloonText">
    <w:name w:val="Balloon Text"/>
    <w:basedOn w:val="Normal"/>
    <w:semiHidden/>
    <w:locked/>
    <w:rsid w:val="008912F6"/>
    <w:rPr>
      <w:rFonts w:ascii="Tahoma" w:hAnsi="Tahoma" w:cs="Tahoma"/>
      <w:sz w:val="16"/>
      <w:szCs w:val="16"/>
    </w:rPr>
  </w:style>
  <w:style w:type="paragraph" w:customStyle="1" w:styleId="TableandFigurecaptionstyle">
    <w:name w:val="Table and Figure caption style"/>
    <w:basedOn w:val="Normal"/>
    <w:locked/>
    <w:rsid w:val="00AF7246"/>
    <w:pPr>
      <w:widowControl w:val="0"/>
      <w:autoSpaceDE w:val="0"/>
      <w:autoSpaceDN w:val="0"/>
      <w:adjustRightInd w:val="0"/>
      <w:spacing w:after="0" w:line="239" w:lineRule="auto"/>
      <w:ind w:left="114" w:right="204"/>
    </w:pPr>
    <w:rPr>
      <w:b/>
      <w:bCs/>
      <w:color w:val="000000"/>
    </w:rPr>
  </w:style>
  <w:style w:type="paragraph" w:customStyle="1" w:styleId="dotpointsinbox">
    <w:name w:val="dot points in box"/>
    <w:basedOn w:val="Normal"/>
    <w:locked/>
    <w:rsid w:val="0094728C"/>
    <w:pPr>
      <w:widowControl w:val="0"/>
      <w:numPr>
        <w:numId w:val="15"/>
      </w:numPr>
      <w:pBdr>
        <w:top w:val="single" w:sz="4" w:space="1" w:color="auto"/>
        <w:left w:val="single" w:sz="4" w:space="4" w:color="auto"/>
        <w:bottom w:val="single" w:sz="4" w:space="1" w:color="auto"/>
        <w:right w:val="single" w:sz="4" w:space="4" w:color="auto"/>
      </w:pBdr>
      <w:autoSpaceDE w:val="0"/>
      <w:autoSpaceDN w:val="0"/>
      <w:adjustRightInd w:val="0"/>
      <w:spacing w:after="0"/>
    </w:pPr>
    <w:rPr>
      <w:bCs/>
    </w:rPr>
  </w:style>
  <w:style w:type="paragraph" w:styleId="Header">
    <w:name w:val="header"/>
    <w:basedOn w:val="Normal"/>
    <w:locked/>
    <w:rsid w:val="001D2B5A"/>
    <w:pPr>
      <w:tabs>
        <w:tab w:val="center" w:pos="4153"/>
        <w:tab w:val="right" w:pos="8306"/>
      </w:tabs>
    </w:pPr>
  </w:style>
  <w:style w:type="paragraph" w:styleId="Footer">
    <w:name w:val="footer"/>
    <w:basedOn w:val="Normal"/>
    <w:locked/>
    <w:rsid w:val="001D2B5A"/>
    <w:pPr>
      <w:tabs>
        <w:tab w:val="center" w:pos="4153"/>
        <w:tab w:val="right" w:pos="8306"/>
      </w:tabs>
    </w:pPr>
  </w:style>
  <w:style w:type="character" w:styleId="PageNumber">
    <w:name w:val="page number"/>
    <w:basedOn w:val="DefaultParagraphFont"/>
    <w:locked/>
    <w:rsid w:val="001D2B5A"/>
  </w:style>
  <w:style w:type="paragraph" w:styleId="Title">
    <w:name w:val="Title"/>
    <w:basedOn w:val="Normal"/>
    <w:qFormat/>
    <w:locked/>
    <w:rsid w:val="00663DE3"/>
    <w:pPr>
      <w:spacing w:before="240" w:after="60"/>
      <w:outlineLvl w:val="0"/>
    </w:pPr>
    <w:rPr>
      <w:rFonts w:cs="Arial"/>
      <w:b/>
      <w:bCs/>
      <w:kern w:val="28"/>
      <w:sz w:val="32"/>
      <w:szCs w:val="32"/>
    </w:rPr>
  </w:style>
  <w:style w:type="paragraph" w:customStyle="1" w:styleId="addresslist">
    <w:name w:val="address list"/>
    <w:basedOn w:val="Normal"/>
    <w:locked/>
    <w:rsid w:val="001069E0"/>
    <w:pPr>
      <w:spacing w:after="80"/>
    </w:pPr>
    <w:rPr>
      <w:i/>
      <w:sz w:val="16"/>
    </w:rPr>
  </w:style>
  <w:style w:type="character" w:styleId="CommentReference">
    <w:name w:val="annotation reference"/>
    <w:uiPriority w:val="99"/>
    <w:locked/>
    <w:rsid w:val="00775E9D"/>
    <w:rPr>
      <w:sz w:val="16"/>
      <w:szCs w:val="16"/>
    </w:rPr>
  </w:style>
  <w:style w:type="paragraph" w:styleId="CommentText">
    <w:name w:val="annotation text"/>
    <w:basedOn w:val="Normal"/>
    <w:link w:val="CommentTextChar"/>
    <w:uiPriority w:val="99"/>
    <w:locked/>
    <w:rsid w:val="00775E9D"/>
    <w:rPr>
      <w:sz w:val="20"/>
      <w:szCs w:val="20"/>
    </w:rPr>
  </w:style>
  <w:style w:type="paragraph" w:styleId="CommentSubject">
    <w:name w:val="annotation subject"/>
    <w:basedOn w:val="CommentText"/>
    <w:next w:val="CommentText"/>
    <w:semiHidden/>
    <w:locked/>
    <w:rsid w:val="00775E9D"/>
    <w:rPr>
      <w:b/>
      <w:bCs/>
    </w:rPr>
  </w:style>
  <w:style w:type="paragraph" w:customStyle="1" w:styleId="GridTable21">
    <w:name w:val="Grid Table 21"/>
    <w:basedOn w:val="Normal"/>
    <w:locked/>
    <w:rsid w:val="007A1930"/>
    <w:pPr>
      <w:widowControl w:val="0"/>
      <w:autoSpaceDE w:val="0"/>
      <w:autoSpaceDN w:val="0"/>
      <w:adjustRightInd w:val="0"/>
      <w:spacing w:after="0"/>
      <w:ind w:left="354" w:right="526" w:hanging="240"/>
    </w:pPr>
    <w:rPr>
      <w:color w:val="000000"/>
    </w:rPr>
  </w:style>
  <w:style w:type="table" w:styleId="TableGrid">
    <w:name w:val="Table Grid"/>
    <w:aliases w:val="EP Table Grid,ICB Table"/>
    <w:basedOn w:val="TableNormal"/>
    <w:uiPriority w:val="59"/>
    <w:locked/>
    <w:rsid w:val="002A0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locked/>
    <w:rsid w:val="002A0FD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UnresolvedMention">
    <w:name w:val="Unresolved Mention"/>
    <w:uiPriority w:val="99"/>
    <w:semiHidden/>
    <w:unhideWhenUsed/>
    <w:rsid w:val="007B4269"/>
    <w:rPr>
      <w:color w:val="605E5C"/>
      <w:shd w:val="clear" w:color="auto" w:fill="E1DFDD"/>
    </w:rPr>
  </w:style>
  <w:style w:type="character" w:customStyle="1" w:styleId="CommentTextChar">
    <w:name w:val="Comment Text Char"/>
    <w:basedOn w:val="DefaultParagraphFont"/>
    <w:link w:val="CommentText"/>
    <w:uiPriority w:val="99"/>
    <w:rsid w:val="00BD3D78"/>
    <w:rPr>
      <w:rFonts w:ascii="Times New Roman" w:hAnsi="Times New Roman"/>
      <w:lang w:eastAsia="en-US"/>
    </w:rPr>
  </w:style>
  <w:style w:type="paragraph" w:customStyle="1" w:styleId="bulletslast">
    <w:name w:val="bullets last"/>
    <w:basedOn w:val="Normal"/>
    <w:link w:val="bulletslastChar"/>
    <w:qFormat/>
    <w:rsid w:val="00113664"/>
    <w:pPr>
      <w:numPr>
        <w:numId w:val="18"/>
      </w:numPr>
      <w:spacing w:after="240"/>
    </w:pPr>
    <w:rPr>
      <w:rFonts w:asciiTheme="minorHAnsi" w:hAnsiTheme="minorHAnsi" w:cstheme="minorBidi"/>
      <w:sz w:val="20"/>
      <w:szCs w:val="24"/>
      <w:lang w:val="en-AU"/>
    </w:rPr>
  </w:style>
  <w:style w:type="character" w:customStyle="1" w:styleId="bulletslastChar">
    <w:name w:val="bullets last Char"/>
    <w:basedOn w:val="DefaultParagraphFont"/>
    <w:link w:val="bulletslast"/>
    <w:rsid w:val="00113664"/>
    <w:rPr>
      <w:rFonts w:asciiTheme="minorHAnsi" w:hAnsiTheme="minorHAnsi" w:cstheme="minorBidi"/>
      <w:szCs w:val="24"/>
      <w:lang w:val="en-AU" w:eastAsia="en-US"/>
    </w:rPr>
  </w:style>
  <w:style w:type="paragraph" w:customStyle="1" w:styleId="normalbeforebullets">
    <w:name w:val="normal before bullets"/>
    <w:basedOn w:val="Normal"/>
    <w:link w:val="normalbeforebulletsChar"/>
    <w:qFormat/>
    <w:rsid w:val="00113664"/>
    <w:pPr>
      <w:spacing w:after="160"/>
    </w:pPr>
    <w:rPr>
      <w:rFonts w:ascii="Calibri" w:hAnsi="Calibri" w:cstheme="minorBidi"/>
      <w:sz w:val="20"/>
      <w:szCs w:val="24"/>
      <w:lang w:val="en-AU"/>
    </w:rPr>
  </w:style>
  <w:style w:type="character" w:customStyle="1" w:styleId="normalbeforebulletsChar">
    <w:name w:val="normal before bullets Char"/>
    <w:basedOn w:val="DefaultParagraphFont"/>
    <w:link w:val="normalbeforebullets"/>
    <w:rsid w:val="00113664"/>
    <w:rPr>
      <w:rFonts w:cstheme="minorBidi"/>
      <w:szCs w:val="24"/>
      <w:lang w:val="en-AU" w:eastAsia="en-US"/>
    </w:rPr>
  </w:style>
  <w:style w:type="paragraph" w:styleId="Caption">
    <w:name w:val="caption"/>
    <w:aliases w:val="Table Name,CDM B/Caption,Table Caption,TABLE,Char,Item,Figure,Caption table,Figure text or caption,Caption Char Char Char Char,Caption1 Char Char,Caption Char Char,Caption Char Char Char Char Char Char Char,Caption Char1,Caption1 Char Char1,It"/>
    <w:basedOn w:val="Normal"/>
    <w:next w:val="Normal"/>
    <w:link w:val="CaptionChar"/>
    <w:uiPriority w:val="35"/>
    <w:qFormat/>
    <w:locked/>
    <w:rsid w:val="00DF1536"/>
    <w:pPr>
      <w:spacing w:after="240"/>
    </w:pPr>
    <w:rPr>
      <w:rFonts w:asciiTheme="minorHAnsi" w:hAnsiTheme="minorHAnsi" w:cstheme="minorBidi"/>
      <w:b/>
      <w:bCs/>
      <w:sz w:val="18"/>
      <w:szCs w:val="20"/>
      <w:lang w:val="en-AU"/>
    </w:rPr>
  </w:style>
  <w:style w:type="paragraph" w:styleId="ListParagraph">
    <w:name w:val="List Paragraph"/>
    <w:aliases w:val="Adani Bullet 1,Text Bullet,Bullet List,Bullets,List Paragraph1,Recommendation,List Paragraph11,List Paragraph111,L,F5 List Paragraph,Dot pt,CV text,Table text,Medium Grid 1 - Accent 21,Numbered Paragraph,List Paragraph2,Bulleted Para,new"/>
    <w:basedOn w:val="Normal"/>
    <w:link w:val="ListParagraphChar"/>
    <w:uiPriority w:val="34"/>
    <w:qFormat/>
    <w:rsid w:val="00DF1536"/>
    <w:pPr>
      <w:spacing w:after="240"/>
      <w:ind w:left="720"/>
      <w:contextualSpacing/>
    </w:pPr>
    <w:rPr>
      <w:rFonts w:ascii="Calibri" w:hAnsi="Calibri" w:cstheme="minorBidi"/>
      <w:sz w:val="20"/>
      <w:szCs w:val="24"/>
      <w:lang w:val="en-AU"/>
    </w:rPr>
  </w:style>
  <w:style w:type="character" w:customStyle="1" w:styleId="CaptionChar">
    <w:name w:val="Caption Char"/>
    <w:aliases w:val="Table Name Char,CDM B/Caption Char,Table Caption Char,TABLE Char,Char Char,Item Char,Figure Char,Caption table Char,Figure text or caption Char,Caption Char Char Char Char Char,Caption1 Char Char Char,Caption Char Char Char,It Char"/>
    <w:basedOn w:val="DefaultParagraphFont"/>
    <w:link w:val="Caption"/>
    <w:uiPriority w:val="35"/>
    <w:rsid w:val="00DF1536"/>
    <w:rPr>
      <w:rFonts w:asciiTheme="minorHAnsi" w:hAnsiTheme="minorHAnsi" w:cstheme="minorBidi"/>
      <w:b/>
      <w:bCs/>
      <w:sz w:val="18"/>
      <w:lang w:val="en-AU" w:eastAsia="en-US"/>
    </w:rPr>
  </w:style>
  <w:style w:type="character" w:customStyle="1" w:styleId="ListParagraphChar">
    <w:name w:val="List Paragraph Char"/>
    <w:aliases w:val="Adani Bullet 1 Char,Text Bullet Char,Bullet List Char,Bullets Char,List Paragraph1 Char,Recommendation Char,List Paragraph11 Char,List Paragraph111 Char,L Char,F5 List Paragraph Char,Dot pt Char,CV text Char,Table text Char,new Char"/>
    <w:basedOn w:val="DefaultParagraphFont"/>
    <w:link w:val="ListParagraph"/>
    <w:uiPriority w:val="16"/>
    <w:qFormat/>
    <w:rsid w:val="00DF1536"/>
    <w:rPr>
      <w:rFonts w:cstheme="minorBidi"/>
      <w:szCs w:val="24"/>
      <w:lang w:val="en-AU" w:eastAsia="en-US"/>
    </w:rPr>
  </w:style>
  <w:style w:type="paragraph" w:styleId="Revision">
    <w:name w:val="Revision"/>
    <w:hidden/>
    <w:uiPriority w:val="71"/>
    <w:rsid w:val="004601DE"/>
    <w:rPr>
      <w:rFonts w:ascii="Times New Roman" w:hAnsi="Times New Roman"/>
      <w:sz w:val="22"/>
      <w:szCs w:val="22"/>
      <w:lang w:eastAsia="en-US"/>
    </w:rPr>
  </w:style>
  <w:style w:type="character" w:customStyle="1" w:styleId="cf01">
    <w:name w:val="cf01"/>
    <w:basedOn w:val="DefaultParagraphFont"/>
    <w:rsid w:val="00B741E4"/>
    <w:rPr>
      <w:rFonts w:ascii="Segoe UI" w:hAnsi="Segoe UI" w:cs="Segoe UI" w:hint="default"/>
      <w:color w:val="808080"/>
      <w:sz w:val="18"/>
      <w:szCs w:val="18"/>
    </w:rPr>
  </w:style>
  <w:style w:type="character" w:customStyle="1" w:styleId="cf11">
    <w:name w:val="cf11"/>
    <w:basedOn w:val="DefaultParagraphFont"/>
    <w:rsid w:val="00B741E4"/>
    <w:rPr>
      <w:rFonts w:ascii="Segoe UI" w:hAnsi="Segoe UI" w:cs="Segoe UI" w:hint="default"/>
      <w:i/>
      <w:iCs/>
      <w:color w:val="808080"/>
      <w:sz w:val="18"/>
      <w:szCs w:val="18"/>
    </w:rPr>
  </w:style>
  <w:style w:type="character" w:customStyle="1" w:styleId="s1">
    <w:name w:val="s1"/>
    <w:basedOn w:val="DefaultParagraphFont"/>
    <w:rsid w:val="00CD245A"/>
    <w:rPr>
      <w:rFonts w:ascii="UICTFontTextStyleBody" w:hAnsi="UICTFontTextStyleBody" w:hint="default"/>
      <w:b w:val="0"/>
      <w:bCs w:val="0"/>
      <w:i w:val="0"/>
      <w:iCs w:val="0"/>
      <w:sz w:val="26"/>
      <w:szCs w:val="26"/>
    </w:rPr>
  </w:style>
  <w:style w:type="paragraph" w:customStyle="1" w:styleId="li1">
    <w:name w:val="li1"/>
    <w:basedOn w:val="Normal"/>
    <w:rsid w:val="00CD245A"/>
    <w:pPr>
      <w:spacing w:after="0"/>
    </w:pPr>
    <w:rPr>
      <w:rFonts w:ascii=".AppleSystemUIFont" w:eastAsiaTheme="minorEastAsia" w:hAnsi=".AppleSystemUIFont"/>
      <w:sz w:val="26"/>
      <w:szCs w:val="26"/>
      <w:lang w:val="en-AU" w:eastAsia="en-GB"/>
    </w:rPr>
  </w:style>
  <w:style w:type="character" w:customStyle="1" w:styleId="apple-converted-space">
    <w:name w:val="apple-converted-space"/>
    <w:basedOn w:val="DefaultParagraphFont"/>
    <w:rsid w:val="00CD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i.org/10.1080/14702541.2019.1610571"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047b218-0531-4bc4-a775-8803c9e06115" xsi:nil="true"/>
    <lcf76f155ced4ddcb4097134ff3c332f xmlns="371f88da-2c08-4b52-af6d-8d8811f2e8d3">
      <Terms xmlns="http://schemas.microsoft.com/office/infopath/2007/PartnerControls"/>
    </lcf76f155ced4ddcb4097134ff3c332f>
    <ArchiverLinkFileType xmlns="371f88da-2c08-4b52-af6d-8d8811f2e8d3" xsi:nil="true"/>
    <Assigned_x0020_to0 xmlns="371f88da-2c08-4b52-af6d-8d8811f2e8d3">
      <UserInfo>
        <DisplayName/>
        <AccountId xsi:nil="true"/>
        <AccountType/>
      </UserInfo>
    </Assigned_x0020_to0>
    <Status xmlns="371f88da-2c08-4b52-af6d-8d8811f2e8d3">Not started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5C1982F537D4D9687853E2E5DB067" ma:contentTypeVersion="23" ma:contentTypeDescription="Create a new document." ma:contentTypeScope="" ma:versionID="7cc9be033b7154b27f96da64e80a9819">
  <xsd:schema xmlns:xsd="http://www.w3.org/2001/XMLSchema" xmlns:xs="http://www.w3.org/2001/XMLSchema" xmlns:p="http://schemas.microsoft.com/office/2006/metadata/properties" xmlns:ns2="371f88da-2c08-4b52-af6d-8d8811f2e8d3" xmlns:ns3="2047b218-0531-4bc4-a775-8803c9e06115" targetNamespace="http://schemas.microsoft.com/office/2006/metadata/properties" ma:root="true" ma:fieldsID="12593204cbc2d9f52d1161bf614f25c1" ns2:_="" ns3:_="">
    <xsd:import namespace="371f88da-2c08-4b52-af6d-8d8811f2e8d3"/>
    <xsd:import namespace="2047b218-0531-4bc4-a775-8803c9e061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Assigned_x0020_to0" minOccurs="0"/>
                <xsd:element ref="ns2:Statu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f88da-2c08-4b52-af6d-8d8811f2e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21bcfc-ffc4-46b8-8cbf-fbded4ffe9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Assigned_x0020_to0" ma:index="23" nillable="true" ma:displayName="Assigned to" ma:list="UserInfo" ma:SharePointGroup="0" ma:internalName="Assigned_x0020_to0"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4"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7b218-0531-4bc4-a775-8803c9e061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0c136e-7134-46eb-8a68-72322e6e66f1}" ma:internalName="TaxCatchAll" ma:showField="CatchAllData" ma:web="2047b218-0531-4bc4-a775-8803c9e061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38913-46B8-42F5-883E-9525B68EC099}">
  <ds:schemaRefs>
    <ds:schemaRef ds:uri="http://schemas.microsoft.com/sharepoint/v3/contenttype/forms"/>
  </ds:schemaRefs>
</ds:datastoreItem>
</file>

<file path=customXml/itemProps2.xml><?xml version="1.0" encoding="utf-8"?>
<ds:datastoreItem xmlns:ds="http://schemas.openxmlformats.org/officeDocument/2006/customXml" ds:itemID="{DF1CF82C-5D70-45CB-866D-FCFB4C82137A}">
  <ds:schemaRefs>
    <ds:schemaRef ds:uri="http://schemas.microsoft.com/office/2006/metadata/properties"/>
    <ds:schemaRef ds:uri="http://schemas.microsoft.com/office/infopath/2007/PartnerControls"/>
    <ds:schemaRef ds:uri="2047b218-0531-4bc4-a775-8803c9e06115"/>
    <ds:schemaRef ds:uri="371f88da-2c08-4b52-af6d-8d8811f2e8d3"/>
  </ds:schemaRefs>
</ds:datastoreItem>
</file>

<file path=customXml/itemProps3.xml><?xml version="1.0" encoding="utf-8"?>
<ds:datastoreItem xmlns:ds="http://schemas.openxmlformats.org/officeDocument/2006/customXml" ds:itemID="{A0686E57-A2EA-405D-90CC-B63CE9B71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f88da-2c08-4b52-af6d-8d8811f2e8d3"/>
    <ds:schemaRef ds:uri="2047b218-0531-4bc4-a775-8803c9e06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849896-B00C-41EB-AF06-7F39166E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4530</Words>
  <Characters>25823</Characters>
  <Application>Microsoft Office Word</Application>
  <DocSecurity>0</DocSecurity>
  <Lines>215</Lines>
  <Paragraphs>60</Paragraphs>
  <ScaleCrop>false</ScaleCrop>
  <Company>.</Company>
  <LinksUpToDate>false</LinksUpToDate>
  <CharactersWithSpaces>30293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Allan_Catherine_89.doc</dc:title>
  <dc:subject/>
  <dc:creator>rdehaan</dc:creator>
  <cp:keywords/>
  <dc:description>Document was created by {applicationname}, version: {version}</dc:description>
  <cp:lastModifiedBy>Isabelle Flook</cp:lastModifiedBy>
  <cp:revision>2</cp:revision>
  <dcterms:created xsi:type="dcterms:W3CDTF">2026-08-23T08:16:00Z</dcterms:created>
  <dcterms:modified xsi:type="dcterms:W3CDTF">2026-08-23T08:16:00Z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3becb175,70570e10,2515c9da</vt:lpwstr>
  </property>
  <property fmtid="{D5CDD505-2E9C-101B-9397-08002B2CF9AE}" pid="3" name="ClassificationContentMarkingFooterFontProps">
    <vt:lpwstr>#000000,12,Aptos</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2026-04-09T06:50:21Z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fe5e4d83-bcaf-496e-b203-ffc6c3d36f1c</vt:lpwstr>
  </property>
  <property fmtid="{D5CDD505-2E9C-101B-9397-08002B2CF9AE}" pid="11" name="MSIP_Label_b92b7feb-b287-442c-a072-f385b02ec972_ContentBits">
    <vt:lpwstr>2</vt:lpwstr>
  </property>
  <property fmtid="{D5CDD505-2E9C-101B-9397-08002B2CF9AE}" pid="12" name="MSIP_Label_b92b7feb-b287-442c-a072-f385b02ec972_Tag">
    <vt:lpwstr>10, 0, 1, 1</vt:lpwstr>
  </property>
  <property fmtid="{D5CDD505-2E9C-101B-9397-08002B2CF9AE}" pid="13" name="ContentTypeId">
    <vt:lpwstr>0x0101008A75C1982F537D4D9687853E2E5DB067</vt:lpwstr>
  </property>
  <property fmtid="{D5CDD505-2E9C-101B-9397-08002B2CF9AE}" pid="14" name="MediaServiceImageTags">
    <vt:lpwstr/>
  </property>
  <property fmtid="{D5CDD505-2E9C-101B-9397-08002B2CF9AE}" pid="15" name="docLang">
    <vt:lpwstr>en</vt:lpwstr>
  </property>
</Properties>
</file>