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D10AE" w14:textId="02CF3A5C" w:rsidR="00262BE8" w:rsidRDefault="00913C80" w:rsidP="00BD1AE5">
      <w:pPr>
        <w:pStyle w:val="Title"/>
      </w:pPr>
      <w:r w:rsidRPr="00913C80">
        <w:t>Rivers without fences: testing the promise and limits of virtual fencing</w:t>
      </w:r>
    </w:p>
    <w:p w14:paraId="672A6659" w14:textId="77777777" w:rsidR="00262BE8" w:rsidRDefault="00262BE8">
      <w:pPr>
        <w:widowControl w:val="0"/>
        <w:autoSpaceDE w:val="0"/>
        <w:autoSpaceDN w:val="0"/>
        <w:adjustRightInd w:val="0"/>
        <w:spacing w:before="1" w:after="0" w:line="220" w:lineRule="exact"/>
      </w:pPr>
    </w:p>
    <w:p w14:paraId="096D95CF" w14:textId="5E7EB85B" w:rsidR="00262BE8" w:rsidRPr="007B4269" w:rsidRDefault="00913C80" w:rsidP="00BD1AE5">
      <w:pPr>
        <w:rPr>
          <w:sz w:val="14"/>
          <w:szCs w:val="14"/>
        </w:rPr>
      </w:pPr>
      <w:r>
        <w:t>Greg Peters</w:t>
      </w:r>
      <w:r w:rsidR="007B4269">
        <w:rPr>
          <w:vertAlign w:val="superscript"/>
        </w:rPr>
        <w:t>1</w:t>
      </w:r>
    </w:p>
    <w:p w14:paraId="722A2BC0" w14:textId="212E6204" w:rsidR="00262BE8" w:rsidRDefault="00262BE8" w:rsidP="007B4269">
      <w:pPr>
        <w:pStyle w:val="addresslist"/>
      </w:pPr>
      <w:r>
        <w:t>1</w:t>
      </w:r>
      <w:r>
        <w:rPr>
          <w:spacing w:val="6"/>
        </w:rPr>
        <w:t xml:space="preserve"> </w:t>
      </w:r>
      <w:r w:rsidR="00913C80">
        <w:t>Riverness</w:t>
      </w:r>
      <w:r w:rsidR="007B4269">
        <w:t xml:space="preserve">, </w:t>
      </w:r>
      <w:r w:rsidR="00913C80">
        <w:t>Torquay</w:t>
      </w:r>
      <w:r w:rsidR="007B4269">
        <w:t xml:space="preserve">, </w:t>
      </w:r>
      <w:r w:rsidR="00913C80">
        <w:t>Victoria</w:t>
      </w:r>
      <w:r w:rsidR="007B4269">
        <w:t xml:space="preserve">, </w:t>
      </w:r>
      <w:r w:rsidR="00913C80">
        <w:t>3228</w:t>
      </w:r>
      <w:r w:rsidR="007B4269">
        <w:t xml:space="preserve">. Email: </w:t>
      </w:r>
      <w:hyperlink r:id="rId11" w:history="1">
        <w:r w:rsidR="00913C80" w:rsidRPr="009E68C0">
          <w:rPr>
            <w:rStyle w:val="Hyperlink"/>
          </w:rPr>
          <w:t>greg@riverness.com.au</w:t>
        </w:r>
      </w:hyperlink>
      <w:r w:rsidR="00913C80">
        <w:t xml:space="preserve"> </w:t>
      </w:r>
    </w:p>
    <w:p w14:paraId="5DAB6C7B" w14:textId="77777777" w:rsidR="00262BE8" w:rsidRDefault="00262BE8">
      <w:pPr>
        <w:widowControl w:val="0"/>
        <w:autoSpaceDE w:val="0"/>
        <w:autoSpaceDN w:val="0"/>
        <w:adjustRightInd w:val="0"/>
        <w:spacing w:after="0" w:line="200" w:lineRule="exact"/>
        <w:rPr>
          <w:sz w:val="20"/>
          <w:szCs w:val="20"/>
        </w:rPr>
      </w:pPr>
    </w:p>
    <w:p w14:paraId="407D040C" w14:textId="77777777" w:rsidR="0094728C" w:rsidRDefault="0094728C" w:rsidP="0094728C">
      <w:pPr>
        <w:pStyle w:val="dotpointsinbox"/>
        <w:numPr>
          <w:ilvl w:val="0"/>
          <w:numId w:val="0"/>
        </w:numPr>
        <w:ind w:left="474"/>
      </w:pPr>
      <w:r w:rsidRPr="001D2B5A">
        <w:rPr>
          <w:b/>
          <w:bCs w:val="0"/>
        </w:rPr>
        <w:t>Key Points</w:t>
      </w:r>
    </w:p>
    <w:p w14:paraId="755C6C28" w14:textId="320472E0" w:rsidR="00136916" w:rsidRDefault="00EA2F35" w:rsidP="00136916">
      <w:pPr>
        <w:pStyle w:val="dotpointsinbox"/>
      </w:pPr>
      <w:r>
        <w:t>Virtual fencing (</w:t>
      </w:r>
      <w:r w:rsidR="00136916">
        <w:t>VF</w:t>
      </w:r>
      <w:r>
        <w:t>)</w:t>
      </w:r>
      <w:r w:rsidR="00136916">
        <w:t xml:space="preserve"> has </w:t>
      </w:r>
      <w:r w:rsidR="00917266">
        <w:t xml:space="preserve">the </w:t>
      </w:r>
      <w:r w:rsidR="00136916">
        <w:t>potential to improve stock management and environmental outcomes in riparian settings, but its reliability as a substitute for physical fencing remains unproven.</w:t>
      </w:r>
    </w:p>
    <w:p w14:paraId="75AE2DB1" w14:textId="77777777" w:rsidR="00136916" w:rsidRDefault="00136916" w:rsidP="00136916">
      <w:pPr>
        <w:pStyle w:val="dotpointsinbox"/>
      </w:pPr>
      <w:r>
        <w:t xml:space="preserve">Current evidence contains important technical, </w:t>
      </w:r>
      <w:proofErr w:type="spellStart"/>
      <w:r>
        <w:t>behavioural</w:t>
      </w:r>
      <w:proofErr w:type="spellEnd"/>
      <w:r>
        <w:t>, operational and regulatory uncertainties that require further testing.</w:t>
      </w:r>
    </w:p>
    <w:p w14:paraId="361BE68C" w14:textId="00557257" w:rsidR="00136916" w:rsidRDefault="00136916" w:rsidP="00136916">
      <w:pPr>
        <w:pStyle w:val="dotpointsinbox"/>
      </w:pPr>
      <w:r>
        <w:t xml:space="preserve">Adoption </w:t>
      </w:r>
      <w:r w:rsidR="00B30C75">
        <w:t xml:space="preserve">within the NRM sector </w:t>
      </w:r>
      <w:r>
        <w:t>should proceed through staged partnerships and targeted pilots rather than immediate broad-scale</w:t>
      </w:r>
      <w:r w:rsidR="00157E40" w:rsidRPr="00157E40">
        <w:t xml:space="preserve"> </w:t>
      </w:r>
      <w:r w:rsidR="00157E40">
        <w:t>use</w:t>
      </w:r>
      <w:r>
        <w:t>.</w:t>
      </w:r>
    </w:p>
    <w:p w14:paraId="67685D74" w14:textId="50B69E6A" w:rsidR="00136916" w:rsidRDefault="00136916" w:rsidP="00136916">
      <w:pPr>
        <w:pStyle w:val="dotpointsinbox"/>
      </w:pPr>
      <w:r>
        <w:t>Future support</w:t>
      </w:r>
      <w:r w:rsidR="00EA2F35">
        <w:t xml:space="preserve"> for VF</w:t>
      </w:r>
      <w:r>
        <w:t xml:space="preserve"> should be based on demonstrated landscape suitability, landholder readiness, compliance feasibility and value for money.</w:t>
      </w:r>
    </w:p>
    <w:p w14:paraId="41C8F396" w14:textId="77777777" w:rsidR="00C32AB8" w:rsidRDefault="00C32AB8" w:rsidP="00C32AB8">
      <w:pPr>
        <w:widowControl w:val="0"/>
        <w:autoSpaceDE w:val="0"/>
        <w:autoSpaceDN w:val="0"/>
        <w:adjustRightInd w:val="0"/>
        <w:spacing w:after="0" w:line="200" w:lineRule="exact"/>
        <w:rPr>
          <w:sz w:val="20"/>
          <w:szCs w:val="20"/>
        </w:rPr>
      </w:pPr>
    </w:p>
    <w:p w14:paraId="7CBFD60A" w14:textId="77777777" w:rsidR="00262BE8" w:rsidRPr="001069E0" w:rsidRDefault="00262BE8" w:rsidP="001069E0">
      <w:pPr>
        <w:pStyle w:val="Heading1"/>
      </w:pPr>
      <w:r>
        <w:t>Abstract</w:t>
      </w:r>
    </w:p>
    <w:p w14:paraId="4CF48532" w14:textId="77777777" w:rsidR="00DC7D6D" w:rsidRDefault="00DC7D6D" w:rsidP="00DC7D6D">
      <w:r>
        <w:t>As Victoria’s river systems become more dynamic and flood‑prone, the long‑held assumption that riparian protection requires physical fencing is being challenged. The commercial arrival of virtual fencing (VF) for cattle in 2026 introduces both opportunity and uncertainty for Catchment Management Authorities (CMAs): can a digital boundary deliver reliable riparian outcomes, and under what conditions is it defensible, appropriate, and cost-effective?</w:t>
      </w:r>
    </w:p>
    <w:p w14:paraId="5BA69B5D" w14:textId="77777777" w:rsidR="00DC7D6D" w:rsidRDefault="00DC7D6D" w:rsidP="00DC7D6D">
      <w:r>
        <w:t xml:space="preserve">This project provides the first structured assessment of VF’s potential role in Victorian riparian programs. At present, CMAs and the Department of Energy, Environment and Climate Action (DEECA) lack a shared, evidence‑based position on VF’s suitability, risks, and policy implications. The project </w:t>
      </w:r>
      <w:proofErr w:type="spellStart"/>
      <w:r>
        <w:t>synthesises</w:t>
      </w:r>
      <w:proofErr w:type="spellEnd"/>
      <w:r>
        <w:t xml:space="preserve"> literature, commercial trials, CMA insights, and targeted engagement to evaluate how VF performs in riparian contexts and what it means for program design, compliance, monitoring, and long‑term protection.</w:t>
      </w:r>
    </w:p>
    <w:p w14:paraId="21A33493" w14:textId="77777777" w:rsidR="00DC7D6D" w:rsidRDefault="00DC7D6D" w:rsidP="00DC7D6D">
      <w:r>
        <w:t>The analysis identifies the key constraints, enablers, and uncertainties shaping VF adoption, and presents conceptual models and decision frameworks that support consistent, transparent decision‑making. The resulting guidance establishes a defensible basis for determining where VF is appropriate, feasible, and aligned with public expectations, and where conventional riparian fencing remains essential.</w:t>
      </w:r>
    </w:p>
    <w:p w14:paraId="5B78D6D6" w14:textId="0D24B390" w:rsidR="00F577D9" w:rsidRPr="0068572D" w:rsidRDefault="00DC7D6D" w:rsidP="00DC7D6D">
      <w:r>
        <w:t>By clarifying regulatory dependencies, cost‑sharing considerations, data‑governance requirements, and operational risks, the project offers CMAs a coherent pathway for assessing VF across diverse landscapes. More broadly, it demonstrates how digital tools are beginning to reshape riparian management in an era of increasing climatic variability and infrastructure vulnerability.</w:t>
      </w:r>
    </w:p>
    <w:p w14:paraId="15D59032" w14:textId="77777777" w:rsidR="00262BE8" w:rsidRPr="00C32AB8" w:rsidRDefault="00262BE8" w:rsidP="00AF7246">
      <w:pPr>
        <w:pStyle w:val="Heading1"/>
      </w:pPr>
      <w:r>
        <w:t>Keywords</w:t>
      </w:r>
    </w:p>
    <w:p w14:paraId="7CEA92DE" w14:textId="5F9D3E56" w:rsidR="00262BE8" w:rsidRPr="00C56417" w:rsidRDefault="00DC7D6D" w:rsidP="00C56417">
      <w:pPr>
        <w:widowControl w:val="0"/>
        <w:autoSpaceDE w:val="0"/>
        <w:autoSpaceDN w:val="0"/>
        <w:adjustRightInd w:val="0"/>
        <w:spacing w:after="0"/>
      </w:pPr>
      <w:r w:rsidRPr="00DC7D6D">
        <w:t xml:space="preserve">Virtual fencing, </w:t>
      </w:r>
      <w:r>
        <w:t>r</w:t>
      </w:r>
      <w:r w:rsidRPr="00DC7D6D">
        <w:t xml:space="preserve">iparian management, </w:t>
      </w:r>
      <w:r>
        <w:t>d</w:t>
      </w:r>
      <w:r w:rsidRPr="00DC7D6D">
        <w:t xml:space="preserve">ecision frameworks, </w:t>
      </w:r>
      <w:r>
        <w:t>f</w:t>
      </w:r>
      <w:r w:rsidRPr="00DC7D6D">
        <w:t>loodplain fencing</w:t>
      </w:r>
      <w:r w:rsidR="00EC637E">
        <w:t xml:space="preserve"> </w:t>
      </w:r>
    </w:p>
    <w:p w14:paraId="3E7A9F1C" w14:textId="77777777" w:rsidR="00262BE8" w:rsidRDefault="007265F8" w:rsidP="00592DAA">
      <w:pPr>
        <w:pStyle w:val="Heading1"/>
      </w:pPr>
      <w:r>
        <w:t>Introduction</w:t>
      </w:r>
    </w:p>
    <w:p w14:paraId="63EBB52A" w14:textId="4CEA3A88" w:rsidR="00603F87" w:rsidRDefault="00603F87" w:rsidP="00743BB4">
      <w:r w:rsidRPr="00603F87">
        <w:t>Riparian protection in Victoria has historically relied on physical fencing, evolving from shepherding in the 1780s to wire, barbed wire, and electric fencing through the 19</w:t>
      </w:r>
      <w:r w:rsidRPr="00EB23B8">
        <w:rPr>
          <w:vertAlign w:val="superscript"/>
        </w:rPr>
        <w:t>th</w:t>
      </w:r>
      <w:r w:rsidR="00EB23B8">
        <w:t xml:space="preserve"> </w:t>
      </w:r>
      <w:r w:rsidRPr="00603F87">
        <w:t>and 20</w:t>
      </w:r>
      <w:r w:rsidRPr="00EB23B8">
        <w:rPr>
          <w:vertAlign w:val="superscript"/>
        </w:rPr>
        <w:t>th</w:t>
      </w:r>
      <w:r w:rsidR="00EB23B8">
        <w:t xml:space="preserve"> </w:t>
      </w:r>
      <w:r w:rsidRPr="00603F87">
        <w:t xml:space="preserve">centuries (Pickard, 2010). However, flood prone river corridors continue to impose high repair and replacement costs, with </w:t>
      </w:r>
      <w:r w:rsidR="00E808BB" w:rsidRPr="00E808BB">
        <w:t>Catchment Management Authorities (CMAs)</w:t>
      </w:r>
      <w:r w:rsidRPr="00603F87">
        <w:t xml:space="preserve"> often reporting repeated damage and/or complete fence loss during major flood events. Drop-down and other flood-resilient designs address part of this problem, but some sites remain difficult to fence because of steep banks, rocky ground, access constraints or erosion risks.</w:t>
      </w:r>
    </w:p>
    <w:p w14:paraId="398BB0C2" w14:textId="3D230B8A" w:rsidR="00743BB4" w:rsidRDefault="00F73C68" w:rsidP="00743BB4">
      <w:r>
        <w:t>In late 2025, v</w:t>
      </w:r>
      <w:r w:rsidRPr="00F73C68">
        <w:t>irtual fencing (VF) was approved for use</w:t>
      </w:r>
      <w:r w:rsidR="00343821">
        <w:t xml:space="preserve"> on cattle</w:t>
      </w:r>
      <w:r w:rsidRPr="00F73C68">
        <w:t xml:space="preserve"> in Victoria</w:t>
      </w:r>
      <w:r w:rsidR="007B1C0D">
        <w:t xml:space="preserve">. </w:t>
      </w:r>
      <w:r w:rsidR="0030203A">
        <w:t>A</w:t>
      </w:r>
      <w:r w:rsidR="00877BA6">
        <w:t xml:space="preserve"> VF</w:t>
      </w:r>
      <w:r w:rsidR="007B1C0D">
        <w:t xml:space="preserve"> </w:t>
      </w:r>
      <w:r w:rsidR="007B1C0D" w:rsidRPr="007B1C0D">
        <w:t xml:space="preserve">system </w:t>
      </w:r>
      <w:r w:rsidR="007B1C0D">
        <w:t xml:space="preserve">controls livestock movement </w:t>
      </w:r>
      <w:r w:rsidR="00D97149">
        <w:t xml:space="preserve">by creating digital (rather than physical) </w:t>
      </w:r>
      <w:r w:rsidR="007B1C0D" w:rsidRPr="007B1C0D">
        <w:t>boundaries</w:t>
      </w:r>
      <w:r w:rsidR="00230BA6">
        <w:t xml:space="preserve">. </w:t>
      </w:r>
      <w:r w:rsidR="00877BA6">
        <w:t xml:space="preserve">This is achieved by </w:t>
      </w:r>
      <w:r w:rsidR="00230BA6">
        <w:t>fitt</w:t>
      </w:r>
      <w:r w:rsidR="00877BA6">
        <w:t>ing animals</w:t>
      </w:r>
      <w:r w:rsidR="00230BA6">
        <w:t xml:space="preserve"> with c</w:t>
      </w:r>
      <w:r w:rsidR="00743BB4">
        <w:t xml:space="preserve">ollars </w:t>
      </w:r>
      <w:r w:rsidR="00230BA6">
        <w:lastRenderedPageBreak/>
        <w:t xml:space="preserve">that </w:t>
      </w:r>
      <w:r w:rsidR="00743BB4">
        <w:t xml:space="preserve">use </w:t>
      </w:r>
      <w:r w:rsidR="00316195">
        <w:t xml:space="preserve">GPS </w:t>
      </w:r>
      <w:r w:rsidR="00743BB4">
        <w:t>positioning, communication, audio warnings and, if required, electrical stimuli</w:t>
      </w:r>
      <w:r w:rsidR="007F75A3">
        <w:t xml:space="preserve"> (see Figure 1)</w:t>
      </w:r>
      <w:r w:rsidR="00743BB4">
        <w:t xml:space="preserve">. </w:t>
      </w:r>
      <w:r w:rsidR="00B82BED">
        <w:t xml:space="preserve">At the time of writing, </w:t>
      </w:r>
      <w:r w:rsidR="00743BB4">
        <w:t xml:space="preserve">Victoria </w:t>
      </w:r>
      <w:r w:rsidR="00B82BED">
        <w:t xml:space="preserve">has </w:t>
      </w:r>
      <w:r w:rsidR="00743BB4">
        <w:t>approved three commercial systems for cattle</w:t>
      </w:r>
      <w:r w:rsidR="00E808BB">
        <w:t>.</w:t>
      </w:r>
      <w:r w:rsidR="00743BB4">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F75A3" w14:paraId="6492BD97" w14:textId="77777777" w:rsidTr="008630B2">
        <w:tc>
          <w:tcPr>
            <w:tcW w:w="4508" w:type="dxa"/>
          </w:tcPr>
          <w:p w14:paraId="17B72C3E" w14:textId="77777777" w:rsidR="007F75A3" w:rsidRDefault="007F75A3" w:rsidP="008630B2">
            <w:r>
              <w:rPr>
                <w:noProof/>
              </w:rPr>
              <w:drawing>
                <wp:inline distT="0" distB="0" distL="0" distR="0" wp14:anchorId="6C8047BC" wp14:editId="104CD722">
                  <wp:extent cx="2717954" cy="1565031"/>
                  <wp:effectExtent l="0" t="0" r="6350" b="0"/>
                  <wp:docPr id="102607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7154" name=""/>
                          <pic:cNvPicPr/>
                        </pic:nvPicPr>
                        <pic:blipFill>
                          <a:blip r:embed="rId12"/>
                          <a:stretch>
                            <a:fillRect/>
                          </a:stretch>
                        </pic:blipFill>
                        <pic:spPr>
                          <a:xfrm>
                            <a:off x="0" y="0"/>
                            <a:ext cx="2747540" cy="1582067"/>
                          </a:xfrm>
                          <a:prstGeom prst="rect">
                            <a:avLst/>
                          </a:prstGeom>
                        </pic:spPr>
                      </pic:pic>
                    </a:graphicData>
                  </a:graphic>
                </wp:inline>
              </w:drawing>
            </w:r>
          </w:p>
        </w:tc>
        <w:tc>
          <w:tcPr>
            <w:tcW w:w="4508" w:type="dxa"/>
          </w:tcPr>
          <w:p w14:paraId="6928FD85" w14:textId="77777777" w:rsidR="007F75A3" w:rsidRDefault="007F75A3" w:rsidP="008630B2">
            <w:r>
              <w:rPr>
                <w:noProof/>
              </w:rPr>
              <w:drawing>
                <wp:inline distT="0" distB="0" distL="0" distR="0" wp14:anchorId="6EE5F31D" wp14:editId="06AC8F7B">
                  <wp:extent cx="2694256" cy="1651000"/>
                  <wp:effectExtent l="0" t="0" r="0" b="6350"/>
                  <wp:docPr id="1682934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34700" name=""/>
                          <pic:cNvPicPr/>
                        </pic:nvPicPr>
                        <pic:blipFill>
                          <a:blip r:embed="rId13"/>
                          <a:stretch>
                            <a:fillRect/>
                          </a:stretch>
                        </pic:blipFill>
                        <pic:spPr>
                          <a:xfrm>
                            <a:off x="0" y="0"/>
                            <a:ext cx="2745436" cy="1682362"/>
                          </a:xfrm>
                          <a:prstGeom prst="rect">
                            <a:avLst/>
                          </a:prstGeom>
                        </pic:spPr>
                      </pic:pic>
                    </a:graphicData>
                  </a:graphic>
                </wp:inline>
              </w:drawing>
            </w:r>
          </w:p>
        </w:tc>
      </w:tr>
    </w:tbl>
    <w:p w14:paraId="3E4CE20B" w14:textId="4574596B" w:rsidR="007F75A3" w:rsidRDefault="0008009A" w:rsidP="0008009A">
      <w:pPr>
        <w:pStyle w:val="TableandFigurecaptionstyle"/>
      </w:pPr>
      <w:r>
        <w:t>Figure</w:t>
      </w:r>
      <w:r>
        <w:rPr>
          <w:spacing w:val="-11"/>
        </w:rPr>
        <w:t xml:space="preserve"> </w:t>
      </w:r>
      <w:r>
        <w:t>1.</w:t>
      </w:r>
      <w:r>
        <w:rPr>
          <w:spacing w:val="-1"/>
        </w:rPr>
        <w:t xml:space="preserve"> </w:t>
      </w:r>
      <w:r w:rsidRPr="0008009A">
        <w:t>Conceptual models of a) hardware and software used to draw VF lines and define the grazing area, boundary zone, and exclusion zone; and b) animal conditioning in a VF system (from (Mayer, et al., 2024)</w:t>
      </w:r>
    </w:p>
    <w:p w14:paraId="15495B62" w14:textId="77777777" w:rsidR="0008009A" w:rsidRDefault="0008009A" w:rsidP="00743BB4"/>
    <w:p w14:paraId="3F08C790" w14:textId="4686E36F" w:rsidR="00743BB4" w:rsidRDefault="00E808BB" w:rsidP="00743BB4">
      <w:r w:rsidRPr="00E808BB">
        <w:t xml:space="preserve">Despite growing interest, CMAs and the Department of Energy, Environment and Climate Action (DEECA) lack a shared, evidence-based position on VF’s defensibility, compliance requirements, monitoring expectations, and alignment with riparian investment </w:t>
      </w:r>
      <w:r w:rsidR="00652808">
        <w:t>principles</w:t>
      </w:r>
      <w:r w:rsidRPr="00E808BB">
        <w:t xml:space="preserve">. </w:t>
      </w:r>
      <w:r w:rsidR="001F57F9">
        <w:t xml:space="preserve">For example, in a </w:t>
      </w:r>
      <w:r w:rsidR="004234F0">
        <w:t>recent</w:t>
      </w:r>
      <w:r w:rsidR="001F57F9">
        <w:t xml:space="preserve"> survey, CMAs </w:t>
      </w:r>
      <w:r w:rsidRPr="00E808BB">
        <w:t xml:space="preserve">noted uncertainty about </w:t>
      </w:r>
      <w:r w:rsidR="005F0B55">
        <w:t xml:space="preserve">VFs </w:t>
      </w:r>
      <w:r w:rsidRPr="00E808BB">
        <w:t>“legal enforceability, minimum standards and compliance triggers in the absence of physical infrastructure” (</w:t>
      </w:r>
      <w:r w:rsidR="006728CB">
        <w:t>Riverness,</w:t>
      </w:r>
      <w:r w:rsidRPr="00E808BB">
        <w:t xml:space="preserve"> 2026) and highlighted risks associated with public perception, animal welfare, and data governance.</w:t>
      </w:r>
    </w:p>
    <w:p w14:paraId="327337C4" w14:textId="7361B30F" w:rsidR="007B4269" w:rsidRDefault="00743BB4" w:rsidP="00DC7D6D">
      <w:r>
        <w:t xml:space="preserve">This paper </w:t>
      </w:r>
      <w:proofErr w:type="spellStart"/>
      <w:r>
        <w:t>synthesises</w:t>
      </w:r>
      <w:proofErr w:type="spellEnd"/>
      <w:r>
        <w:t xml:space="preserve"> 20 peer-reviewed studies, two technical reports, a </w:t>
      </w:r>
      <w:r w:rsidR="00A7746F">
        <w:t xml:space="preserve">CMA </w:t>
      </w:r>
      <w:r>
        <w:t xml:space="preserve">survey and targeted engagement. </w:t>
      </w:r>
      <w:r w:rsidR="00DB6825">
        <w:t xml:space="preserve">It </w:t>
      </w:r>
      <w:r w:rsidR="008A3676">
        <w:t>identifies</w:t>
      </w:r>
      <w:r w:rsidR="00DB6825">
        <w:t xml:space="preserve"> where the evidence for VF </w:t>
      </w:r>
      <w:r>
        <w:t xml:space="preserve">is strongest </w:t>
      </w:r>
      <w:r w:rsidR="008A3676">
        <w:t>(animal</w:t>
      </w:r>
      <w:r>
        <w:t xml:space="preserve"> learning and short-term exclusion</w:t>
      </w:r>
      <w:r w:rsidR="008A3676">
        <w:t xml:space="preserve">) </w:t>
      </w:r>
      <w:r w:rsidR="00A15C68">
        <w:t xml:space="preserve">and </w:t>
      </w:r>
      <w:r w:rsidR="008A3676">
        <w:t>where it is weaker</w:t>
      </w:r>
      <w:r>
        <w:t xml:space="preserve"> </w:t>
      </w:r>
      <w:r w:rsidR="005C31BE">
        <w:t>(</w:t>
      </w:r>
      <w:r>
        <w:t>long-term ecological outcomes, property transfer</w:t>
      </w:r>
      <w:r w:rsidR="005C31BE">
        <w:t xml:space="preserve"> risks</w:t>
      </w:r>
      <w:r>
        <w:t>, compliance under government-funded agreements</w:t>
      </w:r>
      <w:r w:rsidR="005C31BE">
        <w:t>)</w:t>
      </w:r>
      <w:r w:rsidR="00E027D9">
        <w:t>,</w:t>
      </w:r>
      <w:r w:rsidR="00A15C68">
        <w:t xml:space="preserve"> and </w:t>
      </w:r>
      <w:r w:rsidR="00DC7D6D">
        <w:t>clarifies the regulatory, operational and governance conditions under which VF c</w:t>
      </w:r>
      <w:r w:rsidR="00FF5FBB">
        <w:t>ould</w:t>
      </w:r>
      <w:r w:rsidR="00DC7D6D">
        <w:t xml:space="preserve"> be defensibly applied in riparian programs. </w:t>
      </w:r>
    </w:p>
    <w:p w14:paraId="40A1AC99" w14:textId="6FE52F9E" w:rsidR="00DC7D6D" w:rsidRPr="007C4A3F" w:rsidRDefault="00C95147" w:rsidP="00DC7D6D">
      <w:pPr>
        <w:pStyle w:val="Heading1"/>
      </w:pPr>
      <w:r w:rsidRPr="007C4A3F">
        <w:t>The VF e</w:t>
      </w:r>
      <w:r w:rsidR="00DC7D6D" w:rsidRPr="007C4A3F">
        <w:t>vidence base</w:t>
      </w:r>
    </w:p>
    <w:p w14:paraId="44DCE575" w14:textId="2D177785" w:rsidR="00DC7D6D" w:rsidRPr="007C4A3F" w:rsidRDefault="00EA7D0A" w:rsidP="00DC7D6D">
      <w:r w:rsidRPr="007C4A3F">
        <w:t xml:space="preserve">At the beginning of the project, CMAs were surveyed (Riverness 2026) </w:t>
      </w:r>
      <w:r w:rsidR="009C747B" w:rsidRPr="007C4A3F">
        <w:t>to identify the</w:t>
      </w:r>
      <w:r w:rsidR="00083848">
        <w:t>ir</w:t>
      </w:r>
      <w:r w:rsidR="009C747B" w:rsidRPr="007C4A3F">
        <w:t xml:space="preserve"> key concerns in applying VF in riparian contexts.</w:t>
      </w:r>
      <w:r w:rsidR="00DC7D6D" w:rsidRPr="007C4A3F">
        <w:t xml:space="preserve"> </w:t>
      </w:r>
      <w:r w:rsidR="009C747B" w:rsidRPr="007C4A3F">
        <w:t>Survey r</w:t>
      </w:r>
      <w:r w:rsidR="00DC7D6D" w:rsidRPr="007C4A3F">
        <w:t>espondents reported moderate to high familiarity with VF and strong interest in its potential application in riparian areas, particularly where conventional fencing is repeatedly damaged or impractical.</w:t>
      </w:r>
      <w:r w:rsidR="00677C65" w:rsidRPr="007C4A3F">
        <w:t xml:space="preserve"> </w:t>
      </w:r>
      <w:r w:rsidR="00DC7D6D" w:rsidRPr="007C4A3F">
        <w:t xml:space="preserve">However, CMAs </w:t>
      </w:r>
      <w:r w:rsidR="00677C65" w:rsidRPr="007C4A3F">
        <w:t xml:space="preserve">also </w:t>
      </w:r>
      <w:r w:rsidR="00DC7D6D" w:rsidRPr="007C4A3F">
        <w:t xml:space="preserve">identified </w:t>
      </w:r>
      <w:r w:rsidR="00995203">
        <w:t>several potential</w:t>
      </w:r>
      <w:r w:rsidR="00DC7D6D" w:rsidRPr="007C4A3F">
        <w:t xml:space="preserve"> risks:</w:t>
      </w:r>
    </w:p>
    <w:p w14:paraId="695B9656" w14:textId="7274DC3F" w:rsidR="00DC7D6D" w:rsidRPr="007C4A3F" w:rsidRDefault="00DC7D6D" w:rsidP="00DC7D6D">
      <w:pPr>
        <w:pStyle w:val="ListParagraph"/>
        <w:numPr>
          <w:ilvl w:val="0"/>
          <w:numId w:val="18"/>
        </w:numPr>
      </w:pPr>
      <w:r w:rsidRPr="007C4A3F">
        <w:t>technology reliability (battery life, GPS drift, connectivity gaps, hardware lifespan)</w:t>
      </w:r>
    </w:p>
    <w:p w14:paraId="79A36377" w14:textId="04C4E1BC" w:rsidR="00DC7D6D" w:rsidRPr="007C4A3F" w:rsidRDefault="00DC7D6D" w:rsidP="00DC7D6D">
      <w:pPr>
        <w:pStyle w:val="ListParagraph"/>
        <w:numPr>
          <w:ilvl w:val="0"/>
          <w:numId w:val="18"/>
        </w:numPr>
      </w:pPr>
      <w:r w:rsidRPr="007C4A3F">
        <w:t>animal containment risks (calves or uncollared stock accessing riparian areas)</w:t>
      </w:r>
    </w:p>
    <w:p w14:paraId="0C2BC099" w14:textId="3700048F" w:rsidR="00DC7D6D" w:rsidRPr="007C4A3F" w:rsidRDefault="00DC7D6D" w:rsidP="00DC7D6D">
      <w:pPr>
        <w:pStyle w:val="ListParagraph"/>
        <w:numPr>
          <w:ilvl w:val="0"/>
          <w:numId w:val="18"/>
        </w:numPr>
      </w:pPr>
      <w:r w:rsidRPr="007C4A3F">
        <w:t>data limitations in steep or vegetated terrain</w:t>
      </w:r>
    </w:p>
    <w:p w14:paraId="05886482" w14:textId="4D12CB23" w:rsidR="00DC7D6D" w:rsidRPr="007C4A3F" w:rsidRDefault="00DC7D6D" w:rsidP="00DC7D6D">
      <w:pPr>
        <w:pStyle w:val="ListParagraph"/>
        <w:numPr>
          <w:ilvl w:val="0"/>
          <w:numId w:val="18"/>
        </w:numPr>
      </w:pPr>
      <w:r w:rsidRPr="007C4A3F">
        <w:t>public perception and welfare concerns</w:t>
      </w:r>
    </w:p>
    <w:p w14:paraId="5C84882C" w14:textId="7066558A" w:rsidR="00DC7D6D" w:rsidRPr="007C4A3F" w:rsidRDefault="00DC7D6D" w:rsidP="00DC7D6D">
      <w:pPr>
        <w:pStyle w:val="ListParagraph"/>
        <w:numPr>
          <w:ilvl w:val="0"/>
          <w:numId w:val="18"/>
        </w:numPr>
      </w:pPr>
      <w:r w:rsidRPr="007C4A3F">
        <w:t>compliance challenges due to lack of physical boundaries</w:t>
      </w:r>
    </w:p>
    <w:p w14:paraId="6368DB9F" w14:textId="43524065" w:rsidR="00DC7D6D" w:rsidRPr="007C4A3F" w:rsidRDefault="00DC7D6D" w:rsidP="00DC7D6D">
      <w:pPr>
        <w:pStyle w:val="ListParagraph"/>
        <w:numPr>
          <w:ilvl w:val="0"/>
          <w:numId w:val="18"/>
        </w:numPr>
      </w:pPr>
      <w:r w:rsidRPr="007C4A3F">
        <w:t>regulatory uncertainty (Crown land frontages, property transfer</w:t>
      </w:r>
      <w:r w:rsidR="004521F8" w:rsidRPr="007C4A3F">
        <w:t>s</w:t>
      </w:r>
      <w:r w:rsidRPr="007C4A3F">
        <w:t>)</w:t>
      </w:r>
    </w:p>
    <w:p w14:paraId="48BE4238" w14:textId="457D3137" w:rsidR="00DC7D6D" w:rsidRPr="007C4A3F" w:rsidRDefault="00DC7D6D" w:rsidP="00DC7D6D">
      <w:pPr>
        <w:pStyle w:val="ListParagraph"/>
        <w:numPr>
          <w:ilvl w:val="0"/>
          <w:numId w:val="18"/>
        </w:numPr>
      </w:pPr>
      <w:r w:rsidRPr="007C4A3F">
        <w:t>defensible funding models and equity considerations</w:t>
      </w:r>
      <w:r w:rsidR="004521F8" w:rsidRPr="007C4A3F">
        <w:t>.</w:t>
      </w:r>
    </w:p>
    <w:p w14:paraId="323C0F4A" w14:textId="77777777" w:rsidR="00B36057" w:rsidRPr="007C4A3F" w:rsidRDefault="00DC7D6D" w:rsidP="00DC7D6D">
      <w:r w:rsidRPr="007C4A3F">
        <w:t xml:space="preserve">The literature confirmed these concerns. </w:t>
      </w:r>
      <w:r w:rsidR="00B36057" w:rsidRPr="007C4A3F">
        <w:t>For example:</w:t>
      </w:r>
    </w:p>
    <w:p w14:paraId="4DCFCFC8" w14:textId="2AC45FD4" w:rsidR="00B36057" w:rsidRPr="007C4A3F" w:rsidRDefault="00DC7D6D" w:rsidP="00B36057">
      <w:pPr>
        <w:pStyle w:val="ListParagraph"/>
        <w:numPr>
          <w:ilvl w:val="0"/>
          <w:numId w:val="37"/>
        </w:numPr>
      </w:pPr>
      <w:r w:rsidRPr="007C4A3F">
        <w:t xml:space="preserve">Most cattle adapt </w:t>
      </w:r>
      <w:r w:rsidR="00B36057" w:rsidRPr="007C4A3F">
        <w:t xml:space="preserve">to VF </w:t>
      </w:r>
      <w:r w:rsidRPr="007C4A3F">
        <w:t xml:space="preserve">within ~2 weeks, but individual </w:t>
      </w:r>
      <w:r w:rsidR="00C931F8">
        <w:t xml:space="preserve">animal </w:t>
      </w:r>
      <w:r w:rsidRPr="007C4A3F">
        <w:t xml:space="preserve">variation </w:t>
      </w:r>
      <w:r w:rsidR="00B36057" w:rsidRPr="007C4A3F">
        <w:t>can be</w:t>
      </w:r>
      <w:r w:rsidRPr="007C4A3F">
        <w:t xml:space="preserve"> significant (Campbell et al., 2020; Campbell et al., 2018). </w:t>
      </w:r>
    </w:p>
    <w:p w14:paraId="48E8158B" w14:textId="77777777" w:rsidR="00B36057" w:rsidRPr="007C4A3F" w:rsidRDefault="00DC7D6D" w:rsidP="00B36057">
      <w:pPr>
        <w:pStyle w:val="ListParagraph"/>
        <w:numPr>
          <w:ilvl w:val="0"/>
          <w:numId w:val="37"/>
        </w:numPr>
      </w:pPr>
      <w:r w:rsidRPr="007C4A3F">
        <w:t>Some animals require extended training or may not be suitable for VF (</w:t>
      </w:r>
      <w:proofErr w:type="spellStart"/>
      <w:r w:rsidRPr="007C4A3F">
        <w:t>Gadzama</w:t>
      </w:r>
      <w:proofErr w:type="spellEnd"/>
      <w:r w:rsidRPr="007C4A3F">
        <w:t xml:space="preserve"> et al., 2025). </w:t>
      </w:r>
    </w:p>
    <w:p w14:paraId="15F050ED" w14:textId="77777777" w:rsidR="00E44C2F" w:rsidRPr="007C4A3F" w:rsidRDefault="00DC7D6D" w:rsidP="00B36057">
      <w:pPr>
        <w:pStyle w:val="ListParagraph"/>
        <w:numPr>
          <w:ilvl w:val="0"/>
          <w:numId w:val="37"/>
        </w:numPr>
      </w:pPr>
      <w:r w:rsidRPr="007C4A3F">
        <w:t>GPS drift increases under canopy and steep terrain</w:t>
      </w:r>
      <w:r w:rsidR="00E44C2F" w:rsidRPr="007C4A3F">
        <w:t>; a condition</w:t>
      </w:r>
      <w:r w:rsidRPr="007C4A3F">
        <w:t xml:space="preserve"> common along waterways (Lomax et al., 2019; Eastwood et al., 2026). </w:t>
      </w:r>
    </w:p>
    <w:p w14:paraId="53024F51" w14:textId="77777777" w:rsidR="00E44C2F" w:rsidRPr="007C4A3F" w:rsidRDefault="00DC7D6D" w:rsidP="00B36057">
      <w:pPr>
        <w:pStyle w:val="ListParagraph"/>
        <w:numPr>
          <w:ilvl w:val="0"/>
          <w:numId w:val="37"/>
        </w:numPr>
      </w:pPr>
      <w:r w:rsidRPr="007C4A3F">
        <w:t xml:space="preserve">VF can be cost competitive in steep or flood prone terrain, but less viable where </w:t>
      </w:r>
      <w:r w:rsidR="00E44C2F" w:rsidRPr="007C4A3F">
        <w:t xml:space="preserve">physical </w:t>
      </w:r>
      <w:r w:rsidRPr="007C4A3F">
        <w:t xml:space="preserve">fencing is cheap or already present (Eastwood et al., 2026). </w:t>
      </w:r>
    </w:p>
    <w:p w14:paraId="45FF47EB" w14:textId="51EE2EE9" w:rsidR="00DC7D6D" w:rsidRPr="007C4A3F" w:rsidRDefault="00DC7D6D" w:rsidP="00B36057">
      <w:pPr>
        <w:pStyle w:val="ListParagraph"/>
        <w:numPr>
          <w:ilvl w:val="0"/>
          <w:numId w:val="37"/>
        </w:numPr>
      </w:pPr>
      <w:r w:rsidRPr="007C4A3F">
        <w:lastRenderedPageBreak/>
        <w:t xml:space="preserve">Adoption depends on </w:t>
      </w:r>
      <w:r w:rsidR="00262CB5" w:rsidRPr="007C4A3F">
        <w:t xml:space="preserve">landholders’ </w:t>
      </w:r>
      <w:r w:rsidRPr="007C4A3F">
        <w:t>digital literacy, trust in technology, and willingness to share data (Eastwood et al., 2026).</w:t>
      </w:r>
    </w:p>
    <w:p w14:paraId="370B8EED" w14:textId="1D77A9C6" w:rsidR="00B43FCC" w:rsidRPr="007C4A3F" w:rsidRDefault="00460FAC" w:rsidP="00DC7D6D">
      <w:r w:rsidRPr="007C4A3F">
        <w:t>These findings</w:t>
      </w:r>
      <w:r w:rsidR="00DC7D6D" w:rsidRPr="007C4A3F">
        <w:t xml:space="preserve"> suggest </w:t>
      </w:r>
      <w:r w:rsidRPr="007C4A3F">
        <w:t xml:space="preserve">that </w:t>
      </w:r>
      <w:r w:rsidR="00DC7D6D" w:rsidRPr="007C4A3F">
        <w:t xml:space="preserve">VF is not a universal alternative to </w:t>
      </w:r>
      <w:r w:rsidRPr="007C4A3F">
        <w:t xml:space="preserve">physical </w:t>
      </w:r>
      <w:r w:rsidR="00DC7D6D" w:rsidRPr="007C4A3F">
        <w:t>fencing</w:t>
      </w:r>
      <w:r w:rsidR="001F52F9" w:rsidRPr="007C4A3F">
        <w:t xml:space="preserve"> in riparian areas</w:t>
      </w:r>
      <w:r w:rsidR="00DC7D6D" w:rsidRPr="007C4A3F">
        <w:t xml:space="preserve">. </w:t>
      </w:r>
      <w:r w:rsidR="00D831E8" w:rsidRPr="007C4A3F">
        <w:t>More specifically, i</w:t>
      </w:r>
      <w:r w:rsidR="00DC7D6D" w:rsidRPr="007C4A3F">
        <w:t xml:space="preserve">t is </w:t>
      </w:r>
      <w:r w:rsidR="00082DB7">
        <w:t xml:space="preserve">likely to be </w:t>
      </w:r>
      <w:r w:rsidR="00DC7D6D" w:rsidRPr="007C4A3F">
        <w:t>a context</w:t>
      </w:r>
      <w:r w:rsidR="00D831E8" w:rsidRPr="007C4A3F">
        <w:t>-</w:t>
      </w:r>
      <w:r w:rsidR="00DC7D6D" w:rsidRPr="007C4A3F">
        <w:t xml:space="preserve">specific </w:t>
      </w:r>
      <w:r w:rsidR="007C4A3F">
        <w:t xml:space="preserve">riparian </w:t>
      </w:r>
      <w:r w:rsidR="00DC7D6D" w:rsidRPr="007C4A3F">
        <w:t xml:space="preserve">tool whose </w:t>
      </w:r>
      <w:r w:rsidR="00D831E8" w:rsidRPr="007C4A3F">
        <w:t xml:space="preserve">useability and </w:t>
      </w:r>
      <w:r w:rsidR="00DC7D6D" w:rsidRPr="007C4A3F">
        <w:t xml:space="preserve">defensibility </w:t>
      </w:r>
      <w:r w:rsidR="00D831E8" w:rsidRPr="007C4A3F">
        <w:t xml:space="preserve">will </w:t>
      </w:r>
      <w:r w:rsidR="00DC7D6D" w:rsidRPr="007C4A3F">
        <w:t>depend on landscape suitability, landholder capability, data governance, regulatory alignment, and cost sharing logic.</w:t>
      </w:r>
    </w:p>
    <w:p w14:paraId="10FB18B4" w14:textId="34073362" w:rsidR="00C95147" w:rsidRPr="00C95147" w:rsidRDefault="00C95147" w:rsidP="00C95147">
      <w:pPr>
        <w:pStyle w:val="Heading1"/>
      </w:pPr>
      <w:r w:rsidRPr="00C95147">
        <w:t xml:space="preserve">A promising but </w:t>
      </w:r>
      <w:r w:rsidR="007C4A3F" w:rsidRPr="007C4A3F">
        <w:t>context-specific</w:t>
      </w:r>
      <w:r w:rsidRPr="00C95147">
        <w:t xml:space="preserve"> riparian tool </w:t>
      </w:r>
    </w:p>
    <w:p w14:paraId="798A6F7D" w14:textId="03E5A7B4" w:rsidR="00C95147" w:rsidRPr="00C95147" w:rsidRDefault="00C95147" w:rsidP="007C4A3F">
      <w:r w:rsidRPr="00C95147">
        <w:t xml:space="preserve">Published trials </w:t>
      </w:r>
      <w:r w:rsidR="00CF4D64" w:rsidRPr="00CF4D64">
        <w:t>(</w:t>
      </w:r>
      <w:r w:rsidR="00CF4D64">
        <w:t xml:space="preserve">e.g. </w:t>
      </w:r>
      <w:r w:rsidR="00CF4D64" w:rsidRPr="00CF4D64">
        <w:t xml:space="preserve">Campbell et al., 2020; Campbell et al., 2018) </w:t>
      </w:r>
      <w:r w:rsidRPr="00C95147">
        <w:t xml:space="preserve">demonstrate that VF can exclude cattle from riparian and other sensitive areas. </w:t>
      </w:r>
      <w:r w:rsidR="00884C9D">
        <w:t>However, r</w:t>
      </w:r>
      <w:r w:rsidRPr="00C95147">
        <w:t>eported exclusion performance ranges widely</w:t>
      </w:r>
      <w:r w:rsidR="00884C9D">
        <w:t xml:space="preserve"> (</w:t>
      </w:r>
      <w:r w:rsidRPr="00C95147">
        <w:t>from 28% to 96%</w:t>
      </w:r>
      <w:r w:rsidR="00884C9D">
        <w:t>)</w:t>
      </w:r>
      <w:r w:rsidRPr="00C95147">
        <w:t xml:space="preserve"> depending on terrain, riparian width and cue placement (Campbell et al. 2018; Murray et al. 2025). This variation is important</w:t>
      </w:r>
      <w:r w:rsidR="001F2ED8">
        <w:t xml:space="preserve"> as </w:t>
      </w:r>
      <w:r w:rsidR="00663D2D">
        <w:t>VF</w:t>
      </w:r>
      <w:r w:rsidR="001F2ED8">
        <w:t xml:space="preserve"> useability</w:t>
      </w:r>
      <w:r w:rsidR="00EF23F6">
        <w:t xml:space="preserve"> </w:t>
      </w:r>
      <w:r w:rsidR="00663D2D">
        <w:t xml:space="preserve">in riparian contexts </w:t>
      </w:r>
      <w:r w:rsidRPr="00C95147">
        <w:t xml:space="preserve">is not </w:t>
      </w:r>
      <w:r w:rsidR="00663D2D">
        <w:t xml:space="preserve">about </w:t>
      </w:r>
      <w:r w:rsidRPr="00C95147">
        <w:t xml:space="preserve">whether VF </w:t>
      </w:r>
      <w:r w:rsidR="00DD7C6A">
        <w:t>will</w:t>
      </w:r>
      <w:r w:rsidRPr="00C95147">
        <w:t xml:space="preserve"> </w:t>
      </w:r>
      <w:r w:rsidR="00663D2D">
        <w:t xml:space="preserve">work; </w:t>
      </w:r>
      <w:r w:rsidR="00B51A58">
        <w:t>but</w:t>
      </w:r>
      <w:r w:rsidRPr="00C95147">
        <w:t xml:space="preserve"> whether </w:t>
      </w:r>
      <w:r w:rsidR="008D280C">
        <w:t>VF</w:t>
      </w:r>
      <w:r w:rsidRPr="00C95147">
        <w:t xml:space="preserve"> can reliably </w:t>
      </w:r>
      <w:r w:rsidR="008D280C">
        <w:t xml:space="preserve">and consistently </w:t>
      </w:r>
      <w:r w:rsidRPr="00C95147">
        <w:t xml:space="preserve">work at a particular site under the conditions </w:t>
      </w:r>
      <w:r w:rsidR="00F51165">
        <w:t>relevant to</w:t>
      </w:r>
      <w:r w:rsidR="00B51A58">
        <w:t xml:space="preserve"> </w:t>
      </w:r>
      <w:r w:rsidR="00C026C6">
        <w:t xml:space="preserve">achieving </w:t>
      </w:r>
      <w:r w:rsidR="00B51A58">
        <w:t>riparian outcomes</w:t>
      </w:r>
      <w:r w:rsidRPr="00C95147">
        <w:t xml:space="preserve">. </w:t>
      </w:r>
    </w:p>
    <w:p w14:paraId="37168822" w14:textId="7991AE46" w:rsidR="00F81F23" w:rsidRDefault="003F7E0A" w:rsidP="00C95147">
      <w:r>
        <w:t xml:space="preserve">The literature is consistent in that </w:t>
      </w:r>
      <w:r w:rsidR="00C95147" w:rsidRPr="00C95147">
        <w:t xml:space="preserve">VF is particularly promising in flood-prone corridors, steep or rocky areas and sites requiring temporary or seasonal exclusion. It can also </w:t>
      </w:r>
      <w:r w:rsidR="00FE7139">
        <w:t xml:space="preserve">be useful in </w:t>
      </w:r>
      <w:r w:rsidR="00C95147" w:rsidRPr="00C95147">
        <w:t>support</w:t>
      </w:r>
      <w:r w:rsidR="00FE7139">
        <w:t>ing</w:t>
      </w:r>
      <w:r w:rsidR="00C95147" w:rsidRPr="00C95147">
        <w:t xml:space="preserve"> targeted </w:t>
      </w:r>
      <w:r w:rsidR="002B3D43">
        <w:t>controlled</w:t>
      </w:r>
      <w:r w:rsidR="00C95147" w:rsidRPr="00C95147">
        <w:t xml:space="preserve"> grazing</w:t>
      </w:r>
      <w:r w:rsidR="0085482B">
        <w:t xml:space="preserve"> and</w:t>
      </w:r>
      <w:r w:rsidR="00C95147" w:rsidRPr="00C95147">
        <w:t xml:space="preserve"> adaptive responses </w:t>
      </w:r>
      <w:r w:rsidR="00727BCE">
        <w:t xml:space="preserve">to </w:t>
      </w:r>
      <w:r w:rsidR="00C95147" w:rsidRPr="00C95147">
        <w:t>floods</w:t>
      </w:r>
      <w:r w:rsidR="002B3D43">
        <w:t xml:space="preserve"> or fires</w:t>
      </w:r>
      <w:r w:rsidR="00C95147" w:rsidRPr="00C95147">
        <w:t xml:space="preserve">. </w:t>
      </w:r>
      <w:r w:rsidR="00C95147" w:rsidRPr="00F9644A">
        <w:t>However, riparian</w:t>
      </w:r>
      <w:r w:rsidR="00F81F23">
        <w:t>-specific attributes</w:t>
      </w:r>
      <w:r w:rsidR="00C95147" w:rsidRPr="00F9644A">
        <w:t xml:space="preserve"> </w:t>
      </w:r>
      <w:r w:rsidR="00F81F23">
        <w:t xml:space="preserve">can </w:t>
      </w:r>
      <w:r w:rsidR="00F9644A">
        <w:t xml:space="preserve">also </w:t>
      </w:r>
      <w:r w:rsidR="00C95147" w:rsidRPr="00F9644A">
        <w:t>amplify known weaknesses</w:t>
      </w:r>
      <w:r w:rsidR="00F9644A">
        <w:t xml:space="preserve"> within the technology</w:t>
      </w:r>
      <w:r w:rsidR="00C95147" w:rsidRPr="00F9644A">
        <w:t xml:space="preserve">. </w:t>
      </w:r>
      <w:r w:rsidR="00F81F23">
        <w:t>For example:</w:t>
      </w:r>
    </w:p>
    <w:p w14:paraId="189EA5FB" w14:textId="1FA9477B" w:rsidR="00F81F23" w:rsidRPr="00DA42E1" w:rsidRDefault="00C95147" w:rsidP="00F81F23">
      <w:pPr>
        <w:pStyle w:val="ListParagraph"/>
        <w:numPr>
          <w:ilvl w:val="0"/>
          <w:numId w:val="38"/>
        </w:numPr>
        <w:rPr>
          <w:color w:val="000000"/>
          <w:sz w:val="20"/>
          <w:szCs w:val="20"/>
        </w:rPr>
      </w:pPr>
      <w:r w:rsidRPr="00DA42E1">
        <w:t xml:space="preserve">Water, shade and </w:t>
      </w:r>
      <w:r w:rsidR="00F81F23" w:rsidRPr="00DA42E1">
        <w:t>lush riparian</w:t>
      </w:r>
      <w:r w:rsidRPr="00DA42E1">
        <w:t xml:space="preserve"> vegetation can create strong incentives </w:t>
      </w:r>
      <w:r w:rsidR="00F81F23" w:rsidRPr="00DA42E1">
        <w:t>for animal</w:t>
      </w:r>
      <w:r w:rsidR="00093B84">
        <w:t>s</w:t>
      </w:r>
      <w:r w:rsidR="00F81F23" w:rsidRPr="00DA42E1">
        <w:t xml:space="preserve"> </w:t>
      </w:r>
      <w:r w:rsidRPr="00DA42E1">
        <w:t xml:space="preserve">to </w:t>
      </w:r>
      <w:r w:rsidR="002A32F6" w:rsidRPr="00DA42E1">
        <w:t xml:space="preserve">ignore both audio </w:t>
      </w:r>
      <w:r w:rsidR="00093B84">
        <w:t xml:space="preserve">cues </w:t>
      </w:r>
      <w:r w:rsidR="002A32F6" w:rsidRPr="00DA42E1">
        <w:t xml:space="preserve">and electric </w:t>
      </w:r>
      <w:r w:rsidR="00093B84">
        <w:t xml:space="preserve">stimuli </w:t>
      </w:r>
      <w:r w:rsidR="002A32F6" w:rsidRPr="00DA42E1">
        <w:t xml:space="preserve">and </w:t>
      </w:r>
      <w:r w:rsidRPr="00DA42E1">
        <w:t xml:space="preserve">cross a </w:t>
      </w:r>
      <w:r w:rsidR="002A32F6" w:rsidRPr="00DA42E1">
        <w:t xml:space="preserve">VF </w:t>
      </w:r>
      <w:r w:rsidRPr="00DA42E1">
        <w:t xml:space="preserve">boundary. </w:t>
      </w:r>
    </w:p>
    <w:p w14:paraId="465D5093" w14:textId="0BB90E51" w:rsidR="00FC2388" w:rsidRPr="006D54B1" w:rsidRDefault="00C95147" w:rsidP="00F81F23">
      <w:pPr>
        <w:pStyle w:val="ListParagraph"/>
        <w:numPr>
          <w:ilvl w:val="0"/>
          <w:numId w:val="38"/>
        </w:numPr>
        <w:rPr>
          <w:color w:val="000000"/>
          <w:sz w:val="20"/>
          <w:szCs w:val="20"/>
        </w:rPr>
      </w:pPr>
      <w:r w:rsidRPr="00DA42E1">
        <w:t xml:space="preserve">Tree canopy and steep banks can reduce </w:t>
      </w:r>
      <w:r w:rsidR="002A32F6" w:rsidRPr="00DA42E1">
        <w:t xml:space="preserve">GPS </w:t>
      </w:r>
      <w:r w:rsidRPr="00DA42E1">
        <w:t>positioning accuracy and communication reliability.</w:t>
      </w:r>
      <w:r w:rsidR="00FC2388" w:rsidRPr="00DA42E1">
        <w:t xml:space="preserve"> </w:t>
      </w:r>
      <w:r w:rsidRPr="00DA42E1">
        <w:t xml:space="preserve">Narrow </w:t>
      </w:r>
      <w:r w:rsidR="00FC2388" w:rsidRPr="00DA42E1">
        <w:t xml:space="preserve">riparian </w:t>
      </w:r>
      <w:r w:rsidRPr="00DA42E1">
        <w:t xml:space="preserve">strips leave little room for </w:t>
      </w:r>
      <w:r w:rsidR="007E7B32">
        <w:t>error in this regard</w:t>
      </w:r>
      <w:r w:rsidRPr="00DA42E1">
        <w:t xml:space="preserve">. </w:t>
      </w:r>
    </w:p>
    <w:p w14:paraId="7982FE9D" w14:textId="234F3AB1" w:rsidR="00DA42E1" w:rsidRPr="00DA42E1" w:rsidRDefault="00C95147" w:rsidP="00F81F23">
      <w:pPr>
        <w:pStyle w:val="ListParagraph"/>
        <w:numPr>
          <w:ilvl w:val="0"/>
          <w:numId w:val="38"/>
        </w:numPr>
        <w:rPr>
          <w:color w:val="000000"/>
          <w:sz w:val="20"/>
          <w:szCs w:val="20"/>
        </w:rPr>
      </w:pPr>
      <w:r w:rsidRPr="00DA42E1">
        <w:t xml:space="preserve">Calves </w:t>
      </w:r>
      <w:r w:rsidR="00FC2388" w:rsidRPr="00DA42E1">
        <w:t>(who cannot be legally collared</w:t>
      </w:r>
      <w:r w:rsidR="00DB7EB5">
        <w:t xml:space="preserve"> within Victoria</w:t>
      </w:r>
      <w:r w:rsidR="00FC2388" w:rsidRPr="00DA42E1">
        <w:t xml:space="preserve">) </w:t>
      </w:r>
      <w:r w:rsidRPr="00DA42E1">
        <w:t xml:space="preserve">may cross boundaries, causing </w:t>
      </w:r>
      <w:r w:rsidR="00435BBA" w:rsidRPr="00DA42E1">
        <w:t>parent cattle</w:t>
      </w:r>
      <w:r w:rsidRPr="00DA42E1">
        <w:t xml:space="preserve"> to follow. </w:t>
      </w:r>
    </w:p>
    <w:p w14:paraId="2323AA40" w14:textId="316EC140" w:rsidR="00C95147" w:rsidRDefault="00C95147" w:rsidP="00370F5D">
      <w:pPr>
        <w:pStyle w:val="ListParagraph"/>
        <w:numPr>
          <w:ilvl w:val="0"/>
          <w:numId w:val="38"/>
        </w:numPr>
      </w:pPr>
      <w:r w:rsidRPr="00DA42E1">
        <w:t xml:space="preserve">VF cannot exclude </w:t>
      </w:r>
      <w:proofErr w:type="spellStart"/>
      <w:r w:rsidRPr="00DA42E1">
        <w:t>neighbouring</w:t>
      </w:r>
      <w:proofErr w:type="spellEnd"/>
      <w:r w:rsidRPr="00DA42E1">
        <w:t xml:space="preserve"> or uncollared livestock and cannot perform the functions of a legal boundary fence.</w:t>
      </w:r>
    </w:p>
    <w:p w14:paraId="7EE48AE8" w14:textId="36C85DBB" w:rsidR="00FC5854" w:rsidRDefault="00AE65AD" w:rsidP="00AE65AD">
      <w:pPr>
        <w:pStyle w:val="Heading1"/>
      </w:pPr>
      <w:r w:rsidRPr="00AE65AD">
        <w:t>Issues requiring clarification before investment</w:t>
      </w:r>
    </w:p>
    <w:p w14:paraId="550D84AC" w14:textId="400F542D" w:rsidR="00FC5854" w:rsidRDefault="001A705D" w:rsidP="0051455A">
      <w:r w:rsidRPr="001A705D">
        <w:t xml:space="preserve">Before CMAs </w:t>
      </w:r>
      <w:r w:rsidR="0051455A">
        <w:t>can confidently move from</w:t>
      </w:r>
      <w:r w:rsidRPr="001A705D">
        <w:t xml:space="preserve"> </w:t>
      </w:r>
      <w:r w:rsidR="00540F36">
        <w:t xml:space="preserve">VF </w:t>
      </w:r>
      <w:r w:rsidR="00322366">
        <w:t>evidence</w:t>
      </w:r>
      <w:r w:rsidRPr="001A705D">
        <w:t xml:space="preserve"> to </w:t>
      </w:r>
      <w:r w:rsidR="00540F36">
        <w:t xml:space="preserve">VF </w:t>
      </w:r>
      <w:r w:rsidRPr="001A705D">
        <w:t xml:space="preserve">investment, four </w:t>
      </w:r>
      <w:r w:rsidR="007E38A0">
        <w:t>key issues</w:t>
      </w:r>
      <w:r w:rsidR="00540F36">
        <w:t xml:space="preserve"> </w:t>
      </w:r>
      <w:r w:rsidR="008D3864" w:rsidRPr="008D3864">
        <w:t>(identified through the literature review, CMA survey and CMA workshop)</w:t>
      </w:r>
      <w:r w:rsidR="008D3864">
        <w:t xml:space="preserve"> </w:t>
      </w:r>
      <w:r w:rsidR="00540F36">
        <w:t xml:space="preserve">must be </w:t>
      </w:r>
      <w:r w:rsidR="008D3864">
        <w:t>address</w:t>
      </w:r>
      <w:r w:rsidR="00540F36">
        <w:t xml:space="preserve">ed </w:t>
      </w:r>
      <w:r w:rsidR="00322366">
        <w:t xml:space="preserve">(see </w:t>
      </w:r>
      <w:r w:rsidR="00BD4453">
        <w:t>Table 1</w:t>
      </w:r>
      <w:r w:rsidR="00322366">
        <w:t>)</w:t>
      </w:r>
      <w:r w:rsidRPr="001A705D">
        <w:t>.</w:t>
      </w:r>
    </w:p>
    <w:p w14:paraId="15E3197A" w14:textId="41CA8A4F" w:rsidR="00BD4453" w:rsidRDefault="00BD4453" w:rsidP="00BD4453">
      <w:pPr>
        <w:pStyle w:val="TableandFigurecaptionstyle"/>
      </w:pPr>
      <w:r>
        <w:t>Table</w:t>
      </w:r>
      <w:r>
        <w:rPr>
          <w:spacing w:val="-10"/>
        </w:rPr>
        <w:t xml:space="preserve"> </w:t>
      </w:r>
      <w:r>
        <w:t xml:space="preserve">1. </w:t>
      </w:r>
      <w:r w:rsidR="008B7363" w:rsidRPr="008B7363">
        <w:t>Key issues requiring clarification before CMA investment in virtual fencing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824"/>
        <w:gridCol w:w="6996"/>
      </w:tblGrid>
      <w:tr w:rsidR="000E5F39" w:rsidRPr="00E30843" w14:paraId="65E7B481" w14:textId="77777777" w:rsidTr="000E5F39">
        <w:tc>
          <w:tcPr>
            <w:tcW w:w="1438" w:type="pct"/>
            <w:shd w:val="clear" w:color="auto" w:fill="000000"/>
          </w:tcPr>
          <w:p w14:paraId="4455245A" w14:textId="2802BF25" w:rsidR="000E5F39" w:rsidRPr="00E30843" w:rsidRDefault="000E5F39" w:rsidP="008630B2">
            <w:pPr>
              <w:widowControl w:val="0"/>
              <w:autoSpaceDE w:val="0"/>
              <w:autoSpaceDN w:val="0"/>
              <w:adjustRightInd w:val="0"/>
              <w:spacing w:after="0" w:line="200" w:lineRule="exact"/>
              <w:rPr>
                <w:b/>
                <w:bCs/>
                <w:color w:val="FFFFFF"/>
                <w:sz w:val="20"/>
                <w:szCs w:val="20"/>
              </w:rPr>
            </w:pPr>
            <w:r w:rsidRPr="007375B9">
              <w:rPr>
                <w:b/>
                <w:bCs/>
                <w:color w:val="FFFFFF"/>
                <w:sz w:val="20"/>
                <w:szCs w:val="20"/>
              </w:rPr>
              <w:t>Issue</w:t>
            </w:r>
          </w:p>
        </w:tc>
        <w:tc>
          <w:tcPr>
            <w:tcW w:w="3562" w:type="pct"/>
            <w:shd w:val="clear" w:color="auto" w:fill="000000"/>
          </w:tcPr>
          <w:p w14:paraId="11607208" w14:textId="2F4CEE57" w:rsidR="000E5F39" w:rsidRPr="00E30843" w:rsidRDefault="000E5F39" w:rsidP="008630B2">
            <w:pPr>
              <w:widowControl w:val="0"/>
              <w:autoSpaceDE w:val="0"/>
              <w:autoSpaceDN w:val="0"/>
              <w:adjustRightInd w:val="0"/>
              <w:spacing w:after="0" w:line="200" w:lineRule="exact"/>
              <w:rPr>
                <w:b/>
                <w:bCs/>
                <w:color w:val="FFFFFF"/>
                <w:sz w:val="20"/>
                <w:szCs w:val="20"/>
              </w:rPr>
            </w:pPr>
            <w:r w:rsidRPr="007375B9">
              <w:rPr>
                <w:b/>
                <w:bCs/>
                <w:color w:val="FFFFFF"/>
                <w:sz w:val="20"/>
                <w:szCs w:val="20"/>
              </w:rPr>
              <w:t>Key investment question</w:t>
            </w:r>
          </w:p>
        </w:tc>
      </w:tr>
      <w:tr w:rsidR="000E5F39" w:rsidRPr="00E30843" w14:paraId="0487459F" w14:textId="77777777" w:rsidTr="000E5F39">
        <w:tc>
          <w:tcPr>
            <w:tcW w:w="1438" w:type="pct"/>
          </w:tcPr>
          <w:p w14:paraId="15F60A57" w14:textId="7B8BA2E9" w:rsidR="000E5F39" w:rsidRPr="00E30843" w:rsidRDefault="000E5F39" w:rsidP="002412CD">
            <w:pPr>
              <w:widowControl w:val="0"/>
              <w:autoSpaceDE w:val="0"/>
              <w:autoSpaceDN w:val="0"/>
              <w:adjustRightInd w:val="0"/>
              <w:spacing w:after="0" w:line="200" w:lineRule="exact"/>
              <w:rPr>
                <w:b/>
                <w:bCs/>
                <w:color w:val="000000"/>
                <w:sz w:val="20"/>
                <w:szCs w:val="20"/>
              </w:rPr>
            </w:pPr>
            <w:r w:rsidRPr="00B81D29">
              <w:t xml:space="preserve">Compliance and monitoring </w:t>
            </w:r>
          </w:p>
        </w:tc>
        <w:tc>
          <w:tcPr>
            <w:tcW w:w="3562" w:type="pct"/>
          </w:tcPr>
          <w:p w14:paraId="1AF769E0" w14:textId="36F5B9FC" w:rsidR="000E5F39" w:rsidRPr="00E30843" w:rsidRDefault="000E5F39" w:rsidP="002412CD">
            <w:pPr>
              <w:widowControl w:val="0"/>
              <w:autoSpaceDE w:val="0"/>
              <w:autoSpaceDN w:val="0"/>
              <w:adjustRightInd w:val="0"/>
              <w:spacing w:after="0" w:line="200" w:lineRule="exact"/>
              <w:rPr>
                <w:color w:val="000000"/>
                <w:sz w:val="20"/>
                <w:szCs w:val="20"/>
              </w:rPr>
            </w:pPr>
            <w:r w:rsidRPr="00B81D29">
              <w:t xml:space="preserve">How can stock exclusion be verified without relying solely on field inspection? </w:t>
            </w:r>
          </w:p>
        </w:tc>
      </w:tr>
      <w:tr w:rsidR="000E5F39" w:rsidRPr="00E30843" w14:paraId="28D1778A" w14:textId="77777777" w:rsidTr="000E5F39">
        <w:tc>
          <w:tcPr>
            <w:tcW w:w="1438" w:type="pct"/>
          </w:tcPr>
          <w:p w14:paraId="54869C35" w14:textId="3A74B023" w:rsidR="000E5F39" w:rsidRPr="00E30843" w:rsidRDefault="000E5F39" w:rsidP="002412CD">
            <w:pPr>
              <w:widowControl w:val="0"/>
              <w:autoSpaceDE w:val="0"/>
              <w:autoSpaceDN w:val="0"/>
              <w:adjustRightInd w:val="0"/>
              <w:spacing w:after="0" w:line="200" w:lineRule="exact"/>
              <w:rPr>
                <w:b/>
                <w:bCs/>
                <w:color w:val="000000"/>
                <w:sz w:val="20"/>
                <w:szCs w:val="20"/>
              </w:rPr>
            </w:pPr>
            <w:r w:rsidRPr="00E25F32">
              <w:t xml:space="preserve">Data governance </w:t>
            </w:r>
          </w:p>
        </w:tc>
        <w:tc>
          <w:tcPr>
            <w:tcW w:w="3562" w:type="pct"/>
          </w:tcPr>
          <w:p w14:paraId="4B2386FA" w14:textId="29960CFA" w:rsidR="000E5F39" w:rsidRPr="00E30843" w:rsidRDefault="000E5F39" w:rsidP="002412CD">
            <w:pPr>
              <w:widowControl w:val="0"/>
              <w:autoSpaceDE w:val="0"/>
              <w:autoSpaceDN w:val="0"/>
              <w:adjustRightInd w:val="0"/>
              <w:spacing w:after="0" w:line="200" w:lineRule="exact"/>
              <w:rPr>
                <w:color w:val="000000"/>
                <w:sz w:val="20"/>
                <w:szCs w:val="20"/>
              </w:rPr>
            </w:pPr>
            <w:r w:rsidRPr="00E25F32">
              <w:t xml:space="preserve">What data can a CMA access, for what purposes and for how long? </w:t>
            </w:r>
          </w:p>
        </w:tc>
      </w:tr>
      <w:tr w:rsidR="000E5F39" w:rsidRPr="00E30843" w14:paraId="2A0F721F" w14:textId="77777777" w:rsidTr="000E5F39">
        <w:tc>
          <w:tcPr>
            <w:tcW w:w="1438" w:type="pct"/>
          </w:tcPr>
          <w:p w14:paraId="137897E2" w14:textId="7A10A28B" w:rsidR="000E5F39" w:rsidRPr="00E30843" w:rsidRDefault="000E5F39" w:rsidP="002412CD">
            <w:pPr>
              <w:widowControl w:val="0"/>
              <w:autoSpaceDE w:val="0"/>
              <w:autoSpaceDN w:val="0"/>
              <w:adjustRightInd w:val="0"/>
              <w:spacing w:after="0" w:line="200" w:lineRule="exact"/>
              <w:rPr>
                <w:b/>
                <w:bCs/>
                <w:color w:val="000000"/>
                <w:sz w:val="20"/>
                <w:szCs w:val="20"/>
              </w:rPr>
            </w:pPr>
            <w:r w:rsidRPr="009F110B">
              <w:t xml:space="preserve">Cost sharing </w:t>
            </w:r>
          </w:p>
        </w:tc>
        <w:tc>
          <w:tcPr>
            <w:tcW w:w="3562" w:type="pct"/>
          </w:tcPr>
          <w:p w14:paraId="14676697" w14:textId="6B389512" w:rsidR="000E5F39" w:rsidRPr="00E30843" w:rsidRDefault="000E5F39" w:rsidP="002412CD">
            <w:pPr>
              <w:widowControl w:val="0"/>
              <w:autoSpaceDE w:val="0"/>
              <w:autoSpaceDN w:val="0"/>
              <w:adjustRightInd w:val="0"/>
              <w:spacing w:after="0" w:line="200" w:lineRule="exact"/>
              <w:rPr>
                <w:color w:val="000000"/>
                <w:sz w:val="20"/>
                <w:szCs w:val="20"/>
              </w:rPr>
            </w:pPr>
            <w:r w:rsidRPr="009F110B">
              <w:t xml:space="preserve">Which part of VF represents a public riparian benefit rather than a private productivity gain? </w:t>
            </w:r>
          </w:p>
        </w:tc>
      </w:tr>
      <w:tr w:rsidR="000E5F39" w:rsidRPr="00E30843" w14:paraId="672F129E" w14:textId="77777777" w:rsidTr="000E5F39">
        <w:tc>
          <w:tcPr>
            <w:tcW w:w="1438" w:type="pct"/>
          </w:tcPr>
          <w:p w14:paraId="2D99E6B4" w14:textId="6C92A724" w:rsidR="000E5F39" w:rsidRPr="00E30843" w:rsidRDefault="000E5F39" w:rsidP="002412CD">
            <w:pPr>
              <w:widowControl w:val="0"/>
              <w:autoSpaceDE w:val="0"/>
              <w:autoSpaceDN w:val="0"/>
              <w:adjustRightInd w:val="0"/>
              <w:spacing w:after="0" w:line="200" w:lineRule="exact"/>
              <w:rPr>
                <w:b/>
                <w:bCs/>
                <w:color w:val="000000"/>
                <w:sz w:val="20"/>
                <w:szCs w:val="20"/>
              </w:rPr>
            </w:pPr>
            <w:r w:rsidRPr="00ED4D04">
              <w:t xml:space="preserve">Policy and regulation </w:t>
            </w:r>
          </w:p>
        </w:tc>
        <w:tc>
          <w:tcPr>
            <w:tcW w:w="3562" w:type="pct"/>
          </w:tcPr>
          <w:p w14:paraId="04346042" w14:textId="430E71B8" w:rsidR="000E5F39" w:rsidRPr="00E30843" w:rsidRDefault="000E5F39" w:rsidP="002412CD">
            <w:pPr>
              <w:widowControl w:val="0"/>
              <w:autoSpaceDE w:val="0"/>
              <w:autoSpaceDN w:val="0"/>
              <w:adjustRightInd w:val="0"/>
              <w:spacing w:after="0" w:line="200" w:lineRule="exact"/>
              <w:rPr>
                <w:color w:val="000000"/>
                <w:sz w:val="20"/>
                <w:szCs w:val="20"/>
              </w:rPr>
            </w:pPr>
            <w:r w:rsidRPr="00ED4D04">
              <w:t xml:space="preserve">Can VF satisfy riparian </w:t>
            </w:r>
            <w:proofErr w:type="spellStart"/>
            <w:r w:rsidR="00C47CBB" w:rsidRPr="00ED4D04">
              <w:t>licen</w:t>
            </w:r>
            <w:r w:rsidR="000307D2">
              <w:t>c</w:t>
            </w:r>
            <w:r w:rsidR="00C47CBB" w:rsidRPr="00ED4D04">
              <w:t>e</w:t>
            </w:r>
            <w:proofErr w:type="spellEnd"/>
            <w:r w:rsidRPr="00ED4D04">
              <w:t xml:space="preserve"> obligations or public expectations where no physical fence exists? </w:t>
            </w:r>
          </w:p>
        </w:tc>
      </w:tr>
    </w:tbl>
    <w:p w14:paraId="2F98BB23" w14:textId="77777777" w:rsidR="004638B9" w:rsidRPr="004638B9" w:rsidRDefault="004638B9" w:rsidP="004638B9">
      <w:pPr>
        <w:pStyle w:val="Heading1"/>
      </w:pPr>
      <w:r w:rsidRPr="004638B9">
        <w:t xml:space="preserve">Compliance, monitoring and data governance </w:t>
      </w:r>
    </w:p>
    <w:p w14:paraId="45C309D2" w14:textId="5E6CAAC9" w:rsidR="004638B9" w:rsidRDefault="004638B9" w:rsidP="004638B9">
      <w:r w:rsidRPr="004638B9">
        <w:t xml:space="preserve">VF changes compliance from inspecting a physical asset </w:t>
      </w:r>
      <w:r w:rsidR="00E75169">
        <w:t xml:space="preserve">(the fence) </w:t>
      </w:r>
      <w:r w:rsidRPr="004638B9">
        <w:t xml:space="preserve">to verifying digital animal </w:t>
      </w:r>
      <w:proofErr w:type="spellStart"/>
      <w:r w:rsidRPr="004638B9">
        <w:t>behaviour</w:t>
      </w:r>
      <w:proofErr w:type="spellEnd"/>
      <w:r w:rsidRPr="004638B9">
        <w:t xml:space="preserve">. GPS locations, boundary </w:t>
      </w:r>
      <w:r w:rsidR="000E63B6">
        <w:t>positioning and movement</w:t>
      </w:r>
      <w:r w:rsidRPr="004638B9">
        <w:t>, collar status and breach events could provide stronger temporal evidence than periodic</w:t>
      </w:r>
      <w:r w:rsidR="007D6E70">
        <w:t xml:space="preserve"> field</w:t>
      </w:r>
      <w:r w:rsidRPr="004638B9">
        <w:t xml:space="preserve"> inspections, but only if CMAs can access the data and interpret it consistently. </w:t>
      </w:r>
    </w:p>
    <w:p w14:paraId="239821F4" w14:textId="45B9111B" w:rsidR="007B1A20" w:rsidRDefault="00225A8D" w:rsidP="00225A8D">
      <w:r>
        <w:t xml:space="preserve">CMA survey respondents (Riverness, 2026) noted VF “makes </w:t>
      </w:r>
      <w:proofErr w:type="spellStart"/>
      <w:proofErr w:type="gramStart"/>
      <w:r>
        <w:t>non compliance</w:t>
      </w:r>
      <w:proofErr w:type="spellEnd"/>
      <w:proofErr w:type="gramEnd"/>
      <w:r>
        <w:t xml:space="preserve"> harder to detect because there is no physical boundary”. </w:t>
      </w:r>
      <w:r w:rsidR="00A217B3">
        <w:t>As such, i</w:t>
      </w:r>
      <w:r w:rsidR="002571ED">
        <w:t>f CMAs w</w:t>
      </w:r>
      <w:r w:rsidR="0020490B">
        <w:t>e</w:t>
      </w:r>
      <w:r w:rsidR="002571ED">
        <w:t xml:space="preserve">re to </w:t>
      </w:r>
      <w:r w:rsidR="0020490B">
        <w:t>co-</w:t>
      </w:r>
      <w:r w:rsidR="002571ED">
        <w:t xml:space="preserve">invest in </w:t>
      </w:r>
      <w:proofErr w:type="gramStart"/>
      <w:r w:rsidR="002571ED">
        <w:t>the technology</w:t>
      </w:r>
      <w:proofErr w:type="gramEnd"/>
      <w:r w:rsidR="007B1A20">
        <w:t>, they would require:</w:t>
      </w:r>
    </w:p>
    <w:p w14:paraId="6A5A3830" w14:textId="2C818D2B" w:rsidR="00225A8D" w:rsidRDefault="00225A8D" w:rsidP="007B1A20">
      <w:pPr>
        <w:pStyle w:val="ListParagraph"/>
        <w:numPr>
          <w:ilvl w:val="1"/>
          <w:numId w:val="40"/>
        </w:numPr>
      </w:pPr>
      <w:r>
        <w:t>direct access to VF data</w:t>
      </w:r>
    </w:p>
    <w:p w14:paraId="10FA2F6B" w14:textId="578BF486" w:rsidR="00225A8D" w:rsidRDefault="00225A8D" w:rsidP="007B1A20">
      <w:pPr>
        <w:pStyle w:val="ListParagraph"/>
        <w:numPr>
          <w:ilvl w:val="1"/>
          <w:numId w:val="40"/>
        </w:numPr>
      </w:pPr>
      <w:r>
        <w:t>defined data sharing agreements</w:t>
      </w:r>
    </w:p>
    <w:p w14:paraId="68F9E1ED" w14:textId="0BAEA230" w:rsidR="00225A8D" w:rsidRDefault="00225A8D" w:rsidP="007B1A20">
      <w:pPr>
        <w:pStyle w:val="ListParagraph"/>
        <w:numPr>
          <w:ilvl w:val="1"/>
          <w:numId w:val="40"/>
        </w:numPr>
      </w:pPr>
      <w:r>
        <w:t>limits on secondary use</w:t>
      </w:r>
    </w:p>
    <w:p w14:paraId="6EA08A31" w14:textId="606AB246" w:rsidR="00225A8D" w:rsidRPr="004638B9" w:rsidRDefault="00225A8D" w:rsidP="007B1A20">
      <w:pPr>
        <w:pStyle w:val="ListParagraph"/>
        <w:numPr>
          <w:ilvl w:val="1"/>
          <w:numId w:val="40"/>
        </w:numPr>
      </w:pPr>
      <w:r>
        <w:t>secure storage and governance</w:t>
      </w:r>
      <w:r w:rsidR="00B64935">
        <w:t xml:space="preserve"> arrangements</w:t>
      </w:r>
      <w:r w:rsidR="007B1A20">
        <w:t>.</w:t>
      </w:r>
    </w:p>
    <w:p w14:paraId="79C612BD" w14:textId="45CB644B" w:rsidR="005B23F8" w:rsidRDefault="00A217B3" w:rsidP="004638B9">
      <w:r>
        <w:lastRenderedPageBreak/>
        <w:t>However, t</w:t>
      </w:r>
      <w:r w:rsidR="00D778D4">
        <w:t>he literature cite</w:t>
      </w:r>
      <w:r w:rsidR="005B23F8">
        <w:t>d</w:t>
      </w:r>
      <w:r w:rsidR="00D778D4">
        <w:t xml:space="preserve"> landholder concerns </w:t>
      </w:r>
      <w:r w:rsidR="005B23F8">
        <w:t>with</w:t>
      </w:r>
      <w:r w:rsidR="005B23F8" w:rsidRPr="005B23F8">
        <w:t xml:space="preserve"> mandatory data sharing </w:t>
      </w:r>
      <w:r w:rsidR="005B23F8">
        <w:t xml:space="preserve">as it </w:t>
      </w:r>
      <w:r w:rsidR="005B23F8" w:rsidRPr="005B23F8">
        <w:t xml:space="preserve">could expose sensitive information about grazing patterns or management decisions. A defensible VF program must </w:t>
      </w:r>
      <w:r w:rsidR="004D3760">
        <w:t xml:space="preserve">therefore </w:t>
      </w:r>
      <w:r w:rsidR="005B23F8" w:rsidRPr="005B23F8">
        <w:t>balance CMA compliance needs with landholder privacy.</w:t>
      </w:r>
    </w:p>
    <w:p w14:paraId="5CB7A53C" w14:textId="5A482C60" w:rsidR="004D3760" w:rsidRDefault="004D3760" w:rsidP="004D3760">
      <w:r>
        <w:t>Two approaches could enable this</w:t>
      </w:r>
      <w:r w:rsidR="00FD2785">
        <w:t xml:space="preserve"> (</w:t>
      </w:r>
      <w:r w:rsidR="008F22E2">
        <w:t>depending</w:t>
      </w:r>
      <w:r w:rsidR="00FD2785">
        <w:t xml:space="preserve"> on whether the riparian area was on </w:t>
      </w:r>
      <w:r w:rsidR="008F22E2">
        <w:t>freehold or Crown land)</w:t>
      </w:r>
      <w:r>
        <w:t>:</w:t>
      </w:r>
    </w:p>
    <w:p w14:paraId="0C4AE171" w14:textId="1F7242F7" w:rsidR="004D3760" w:rsidRDefault="004D3760" w:rsidP="00B64935">
      <w:pPr>
        <w:pStyle w:val="ListParagraph"/>
        <w:numPr>
          <w:ilvl w:val="0"/>
          <w:numId w:val="47"/>
        </w:numPr>
      </w:pPr>
      <w:r>
        <w:t xml:space="preserve">CMA </w:t>
      </w:r>
      <w:r w:rsidR="00B64935">
        <w:t xml:space="preserve">funding </w:t>
      </w:r>
      <w:r>
        <w:t>contributions</w:t>
      </w:r>
      <w:r w:rsidR="00B64935">
        <w:t xml:space="preserve"> </w:t>
      </w:r>
      <w:r w:rsidR="004D5E6C">
        <w:t>(e.g.</w:t>
      </w:r>
      <w:r>
        <w:t xml:space="preserve"> collar hire</w:t>
      </w:r>
      <w:r w:rsidR="004D5E6C">
        <w:t>,</w:t>
      </w:r>
      <w:r>
        <w:t xml:space="preserve"> subscription fees</w:t>
      </w:r>
      <w:r w:rsidR="004D5E6C">
        <w:t>)</w:t>
      </w:r>
      <w:r>
        <w:t xml:space="preserve"> in exchange for direct data access</w:t>
      </w:r>
      <w:r w:rsidR="00DB6731">
        <w:t>.</w:t>
      </w:r>
    </w:p>
    <w:p w14:paraId="1766E0AD" w14:textId="175A237B" w:rsidR="004D3760" w:rsidRDefault="00DB6731" w:rsidP="00B64935">
      <w:pPr>
        <w:pStyle w:val="ListParagraph"/>
        <w:numPr>
          <w:ilvl w:val="0"/>
          <w:numId w:val="47"/>
        </w:numPr>
      </w:pPr>
      <w:r>
        <w:t>E</w:t>
      </w:r>
      <w:r w:rsidR="004D3760">
        <w:t>mbedding data sharing requirements into public land agreements</w:t>
      </w:r>
      <w:r w:rsidR="00BB7861">
        <w:t xml:space="preserve"> (e.g. where a landholder has a </w:t>
      </w:r>
      <w:proofErr w:type="spellStart"/>
      <w:r w:rsidR="00BB7861">
        <w:t>licen</w:t>
      </w:r>
      <w:r w:rsidR="000307D2">
        <w:t>c</w:t>
      </w:r>
      <w:r w:rsidR="00BB7861">
        <w:t>e</w:t>
      </w:r>
      <w:proofErr w:type="spellEnd"/>
      <w:r w:rsidR="00BB7861">
        <w:t xml:space="preserve"> to graze a Crown water frontage).</w:t>
      </w:r>
    </w:p>
    <w:p w14:paraId="718D48F1" w14:textId="2A17E366" w:rsidR="00CD19AE" w:rsidRDefault="00BB7861" w:rsidP="00BB7861">
      <w:r w:rsidRPr="00BB7861">
        <w:t xml:space="preserve">Without </w:t>
      </w:r>
      <w:r w:rsidR="008F22E2">
        <w:t>access to VF data</w:t>
      </w:r>
      <w:r w:rsidRPr="00BB7861">
        <w:t xml:space="preserve">, compliance </w:t>
      </w:r>
      <w:r>
        <w:t>would be no different t</w:t>
      </w:r>
      <w:r w:rsidR="00CD19AE">
        <w:t>o</w:t>
      </w:r>
      <w:r>
        <w:t xml:space="preserve"> current field</w:t>
      </w:r>
      <w:r w:rsidR="00CD19AE">
        <w:t>-</w:t>
      </w:r>
      <w:r>
        <w:t>based</w:t>
      </w:r>
      <w:r w:rsidR="00CD19AE">
        <w:t xml:space="preserve"> observations.</w:t>
      </w:r>
    </w:p>
    <w:p w14:paraId="075952A4" w14:textId="77777777" w:rsidR="008E184A" w:rsidRDefault="008E184A" w:rsidP="00DD718C">
      <w:pPr>
        <w:pStyle w:val="Heading1"/>
      </w:pPr>
      <w:r>
        <w:t xml:space="preserve">Economics and public investment </w:t>
      </w:r>
    </w:p>
    <w:p w14:paraId="6A1FEF30" w14:textId="3A7B5725" w:rsidR="00EB0071" w:rsidRDefault="00BD243D" w:rsidP="00EB0071">
      <w:pPr>
        <w:pStyle w:val="Heading2"/>
      </w:pPr>
      <w:r>
        <w:t>VF implementation c</w:t>
      </w:r>
      <w:r w:rsidR="00EB0071">
        <w:t>ost</w:t>
      </w:r>
      <w:r>
        <w:t>s</w:t>
      </w:r>
    </w:p>
    <w:p w14:paraId="61157FA4" w14:textId="72BAD750" w:rsidR="00FB191F" w:rsidRDefault="008E184A" w:rsidP="008E184A">
      <w:r>
        <w:t xml:space="preserve">VF and physical fencing are difficult to compare </w:t>
      </w:r>
      <w:r w:rsidR="00B06D71">
        <w:t>directly as</w:t>
      </w:r>
      <w:r>
        <w:t xml:space="preserve"> they measure cost differently. </w:t>
      </w:r>
      <w:r w:rsidR="00775F7D">
        <w:t>Phys</w:t>
      </w:r>
      <w:r w:rsidR="009248BE">
        <w:t>ical f</w:t>
      </w:r>
      <w:r>
        <w:t>encing is primarily a capital cost expressed by length, while VF involves collars, communication infrastructure, subscriptions, training and ongoing management</w:t>
      </w:r>
      <w:r w:rsidR="00372C25">
        <w:t xml:space="preserve"> (some </w:t>
      </w:r>
      <w:r w:rsidR="00EE32C4">
        <w:t>portion of</w:t>
      </w:r>
      <w:r w:rsidR="00372C25">
        <w:t xml:space="preserve"> which </w:t>
      </w:r>
      <w:r w:rsidR="00B84613">
        <w:t>w</w:t>
      </w:r>
      <w:r w:rsidR="00372C25">
        <w:t xml:space="preserve">ould be borne by the riparian area whilst </w:t>
      </w:r>
      <w:r w:rsidR="00EF6102">
        <w:t>some (the majority) w</w:t>
      </w:r>
      <w:r w:rsidR="00B84613">
        <w:t>ould</w:t>
      </w:r>
      <w:r w:rsidR="00EF6102">
        <w:t xml:space="preserve"> be borne by regular farm management)</w:t>
      </w:r>
      <w:r>
        <w:t xml:space="preserve">. </w:t>
      </w:r>
    </w:p>
    <w:p w14:paraId="6772995D" w14:textId="0ECB37C7" w:rsidR="008E184A" w:rsidRDefault="00FB191F" w:rsidP="008E184A">
      <w:r>
        <w:t>An example costing arrangement</w:t>
      </w:r>
      <w:r w:rsidR="005D568B">
        <w:t xml:space="preserve"> provided in Duval et al.</w:t>
      </w:r>
      <w:r w:rsidR="00956725">
        <w:t xml:space="preserve"> </w:t>
      </w:r>
      <w:r w:rsidR="005D568B">
        <w:t>(2025)</w:t>
      </w:r>
      <w:r>
        <w:t xml:space="preserve">, </w:t>
      </w:r>
      <w:r w:rsidR="005D568B">
        <w:t>had</w:t>
      </w:r>
      <w:r w:rsidR="008E184A">
        <w:t xml:space="preserve"> first-year </w:t>
      </w:r>
      <w:r w:rsidR="00956725">
        <w:t xml:space="preserve">VF </w:t>
      </w:r>
      <w:r w:rsidR="008E184A">
        <w:t>costs approximat</w:t>
      </w:r>
      <w:r w:rsidR="00956725">
        <w:t>ing</w:t>
      </w:r>
      <w:r w:rsidR="008E184A">
        <w:t xml:space="preserve"> $175-$400 per cow, with annual costs of about $80-$130 per cow. </w:t>
      </w:r>
      <w:r w:rsidR="00956725">
        <w:t>However, t</w:t>
      </w:r>
      <w:r w:rsidR="008E184A">
        <w:t xml:space="preserve">hese </w:t>
      </w:r>
      <w:r w:rsidR="00956725">
        <w:t>costs could</w:t>
      </w:r>
      <w:r w:rsidR="008E184A">
        <w:t xml:space="preserve"> not be transferred directly to </w:t>
      </w:r>
      <w:r w:rsidR="0077215C">
        <w:t>another farm or project as</w:t>
      </w:r>
      <w:r w:rsidR="008E184A">
        <w:t xml:space="preserve"> prices, enterprise structures</w:t>
      </w:r>
      <w:r w:rsidR="00AD1064">
        <w:t xml:space="preserve">, implementation objectives </w:t>
      </w:r>
      <w:r w:rsidR="008E184A">
        <w:t xml:space="preserve">and service conditions </w:t>
      </w:r>
      <w:r w:rsidR="00AD1064">
        <w:t xml:space="preserve">will </w:t>
      </w:r>
      <w:r w:rsidR="008E184A">
        <w:t>differ</w:t>
      </w:r>
      <w:r w:rsidR="00AD1064">
        <w:t xml:space="preserve"> substantially</w:t>
      </w:r>
      <w:r w:rsidR="008E184A">
        <w:t xml:space="preserve">. </w:t>
      </w:r>
      <w:r w:rsidR="009802B1">
        <w:t>For example, the</w:t>
      </w:r>
      <w:r w:rsidR="00714352" w:rsidRPr="00714352">
        <w:t xml:space="preserve"> same </w:t>
      </w:r>
      <w:r w:rsidR="009802B1">
        <w:t xml:space="preserve">VF </w:t>
      </w:r>
      <w:r w:rsidR="00714352" w:rsidRPr="00714352">
        <w:t xml:space="preserve">system may be economical for a large dairy enterprise </w:t>
      </w:r>
      <w:r w:rsidR="00B1732C">
        <w:t>but</w:t>
      </w:r>
      <w:r w:rsidR="00714352" w:rsidRPr="00714352">
        <w:t xml:space="preserve"> unsuitable for a small beef herd.</w:t>
      </w:r>
    </w:p>
    <w:p w14:paraId="13D5321C" w14:textId="669AB7C9" w:rsidR="008E184A" w:rsidRDefault="00BD243D" w:rsidP="00EB0071">
      <w:pPr>
        <w:pStyle w:val="Heading2"/>
      </w:pPr>
      <w:r>
        <w:t>Cost sharing arrangements</w:t>
      </w:r>
    </w:p>
    <w:p w14:paraId="6F0CCD81" w14:textId="4812EA34" w:rsidR="00BD243D" w:rsidRDefault="00BD243D" w:rsidP="00BD243D">
      <w:r>
        <w:t xml:space="preserve">VF </w:t>
      </w:r>
      <w:r w:rsidR="00CD4170">
        <w:t xml:space="preserve">has the potential to </w:t>
      </w:r>
      <w:r>
        <w:t>generate both private benefits (</w:t>
      </w:r>
      <w:r w:rsidR="007177FA">
        <w:t xml:space="preserve">e.g. </w:t>
      </w:r>
      <w:proofErr w:type="spellStart"/>
      <w:r>
        <w:t>labour</w:t>
      </w:r>
      <w:proofErr w:type="spellEnd"/>
      <w:r>
        <w:t xml:space="preserve"> savings, grazing flexibility) and public benefits (</w:t>
      </w:r>
      <w:r w:rsidR="00CD4170">
        <w:t xml:space="preserve">e.g. </w:t>
      </w:r>
      <w:r>
        <w:t xml:space="preserve">riparian protection). CMAs </w:t>
      </w:r>
      <w:proofErr w:type="spellStart"/>
      <w:r>
        <w:t>emphasised</w:t>
      </w:r>
      <w:proofErr w:type="spellEnd"/>
      <w:r>
        <w:t xml:space="preserve"> </w:t>
      </w:r>
      <w:r w:rsidR="00D629DA">
        <w:t xml:space="preserve">that if they were to co-invest in VF, </w:t>
      </w:r>
      <w:r>
        <w:t xml:space="preserve">they “did not wish to </w:t>
      </w:r>
      <w:proofErr w:type="spellStart"/>
      <w:r>
        <w:t>subsidise</w:t>
      </w:r>
      <w:proofErr w:type="spellEnd"/>
      <w:r>
        <w:t xml:space="preserve"> general farm productivity gains unrelated to riparian protection” (</w:t>
      </w:r>
      <w:r w:rsidR="00D629DA">
        <w:t>Riverness</w:t>
      </w:r>
      <w:r>
        <w:t>, 2026).</w:t>
      </w:r>
    </w:p>
    <w:p w14:paraId="5934C8F8" w14:textId="77777777" w:rsidR="00BD243D" w:rsidRDefault="00BD243D" w:rsidP="00BD243D">
      <w:r>
        <w:t>Cost sharing must therefore be:</w:t>
      </w:r>
    </w:p>
    <w:p w14:paraId="590EBCB7" w14:textId="0D492637" w:rsidR="00BD243D" w:rsidRDefault="00BD243D" w:rsidP="00041C66">
      <w:pPr>
        <w:pStyle w:val="ListParagraph"/>
        <w:numPr>
          <w:ilvl w:val="0"/>
          <w:numId w:val="42"/>
        </w:numPr>
      </w:pPr>
      <w:r>
        <w:t>defensible</w:t>
      </w:r>
    </w:p>
    <w:p w14:paraId="256AA487" w14:textId="2B1E7110" w:rsidR="00BD243D" w:rsidRDefault="00BD243D" w:rsidP="00041C66">
      <w:pPr>
        <w:pStyle w:val="ListParagraph"/>
        <w:numPr>
          <w:ilvl w:val="0"/>
          <w:numId w:val="42"/>
        </w:numPr>
      </w:pPr>
      <w:r>
        <w:t>transparent</w:t>
      </w:r>
    </w:p>
    <w:p w14:paraId="0736A60A" w14:textId="48B99EDD" w:rsidR="00BD243D" w:rsidRDefault="00BD243D" w:rsidP="00041C66">
      <w:pPr>
        <w:pStyle w:val="ListParagraph"/>
        <w:numPr>
          <w:ilvl w:val="0"/>
          <w:numId w:val="42"/>
        </w:numPr>
      </w:pPr>
      <w:r>
        <w:t>aligned with environmental outcomes</w:t>
      </w:r>
    </w:p>
    <w:p w14:paraId="568C7CB0" w14:textId="34E76AC6" w:rsidR="00BD243D" w:rsidRDefault="00BD243D" w:rsidP="00041C66">
      <w:pPr>
        <w:pStyle w:val="ListParagraph"/>
        <w:numPr>
          <w:ilvl w:val="0"/>
          <w:numId w:val="42"/>
        </w:numPr>
      </w:pPr>
      <w:r>
        <w:t>equitable across landholders</w:t>
      </w:r>
      <w:r w:rsidR="00041C66">
        <w:t>.</w:t>
      </w:r>
    </w:p>
    <w:p w14:paraId="59B98051" w14:textId="06CF5D67" w:rsidR="00BD243D" w:rsidRDefault="00BD243D" w:rsidP="004A7EDA">
      <w:r>
        <w:t>VF may be cost competitive in steep or flood prone terrain, but less viable where fencing is cheap or already present (Eastwood et al., 2026). Funding models must reflect this variability</w:t>
      </w:r>
      <w:r w:rsidR="00F802F5" w:rsidRPr="00F802F5">
        <w:t xml:space="preserve"> </w:t>
      </w:r>
      <w:r w:rsidR="00D74358">
        <w:t xml:space="preserve">with </w:t>
      </w:r>
      <w:r w:rsidR="00F802F5" w:rsidRPr="00F802F5">
        <w:t xml:space="preserve">CMAs </w:t>
      </w:r>
      <w:r w:rsidR="00D74358">
        <w:t>only</w:t>
      </w:r>
      <w:r w:rsidR="00F802F5" w:rsidRPr="00F802F5">
        <w:t xml:space="preserve"> fund</w:t>
      </w:r>
      <w:r w:rsidR="00D74358">
        <w:t>ing</w:t>
      </w:r>
      <w:r w:rsidR="00F802F5" w:rsidRPr="00F802F5">
        <w:t xml:space="preserve"> the environmental advantage that conventional fencing cannot deliver, rather than general productivity benefits</w:t>
      </w:r>
      <w:r>
        <w:t xml:space="preserve">. </w:t>
      </w:r>
    </w:p>
    <w:p w14:paraId="5657C5F4" w14:textId="43B0D08E" w:rsidR="0021364B" w:rsidRDefault="0021364B" w:rsidP="0021364B">
      <w:pPr>
        <w:pStyle w:val="Heading1"/>
      </w:pPr>
      <w:r>
        <w:t>Policy and regulatory dependencies</w:t>
      </w:r>
    </w:p>
    <w:p w14:paraId="005214E2" w14:textId="77777777" w:rsidR="0021364B" w:rsidRDefault="0021364B" w:rsidP="0021364B">
      <w:r>
        <w:t xml:space="preserve">VF interacts with several regulatory settings that determine whether it can be used in </w:t>
      </w:r>
      <w:proofErr w:type="gramStart"/>
      <w:r>
        <w:t>riparian programs</w:t>
      </w:r>
      <w:proofErr w:type="gramEnd"/>
      <w:r>
        <w:t>.</w:t>
      </w:r>
    </w:p>
    <w:p w14:paraId="67F7E383" w14:textId="77777777" w:rsidR="0021364B" w:rsidRDefault="0021364B" w:rsidP="008C2DA4">
      <w:pPr>
        <w:pStyle w:val="Heading2"/>
      </w:pPr>
      <w:r>
        <w:t>Crown land water frontages</w:t>
      </w:r>
    </w:p>
    <w:p w14:paraId="2BE00863" w14:textId="61849003" w:rsidR="0021364B" w:rsidRDefault="0021364B" w:rsidP="0021364B">
      <w:r>
        <w:t xml:space="preserve">Uncertainty exists regarding VF’s ability to meet </w:t>
      </w:r>
      <w:proofErr w:type="spellStart"/>
      <w:r w:rsidR="008F6AA6">
        <w:t>licen</w:t>
      </w:r>
      <w:r w:rsidR="00443708">
        <w:t>c</w:t>
      </w:r>
      <w:r w:rsidR="008F6AA6">
        <w:t>e</w:t>
      </w:r>
      <w:proofErr w:type="spellEnd"/>
      <w:r>
        <w:t xml:space="preserve"> obligations and public access requirements. Physical fencing has historically been the compliance mechanism</w:t>
      </w:r>
      <w:r w:rsidR="00342A9D">
        <w:t xml:space="preserve"> so </w:t>
      </w:r>
      <w:r>
        <w:t xml:space="preserve">VF </w:t>
      </w:r>
      <w:r w:rsidR="00342A9D">
        <w:t xml:space="preserve">would </w:t>
      </w:r>
      <w:r>
        <w:t>require</w:t>
      </w:r>
      <w:r w:rsidR="00342A9D">
        <w:t xml:space="preserve"> a</w:t>
      </w:r>
      <w:r>
        <w:t xml:space="preserve"> new regulatory interpretation.</w:t>
      </w:r>
    </w:p>
    <w:p w14:paraId="1AC41E2B" w14:textId="77777777" w:rsidR="0021364B" w:rsidRDefault="0021364B" w:rsidP="00D105B9">
      <w:pPr>
        <w:pStyle w:val="Heading2"/>
      </w:pPr>
      <w:r>
        <w:lastRenderedPageBreak/>
        <w:t>Property transfer</w:t>
      </w:r>
    </w:p>
    <w:p w14:paraId="70C6228C" w14:textId="50C803AD" w:rsidR="0021364B" w:rsidRDefault="0021364B" w:rsidP="0021364B">
      <w:r>
        <w:t>VF is vulnerable to ownership changes. As one CMA noted, “VF technology may not be adopted by the new owner… and we are back to square one” (</w:t>
      </w:r>
      <w:r w:rsidR="00A31DBA">
        <w:t>Riverness</w:t>
      </w:r>
      <w:r>
        <w:t>, 2026). Without a physical fence, riparian protection may lapse immediately upon sale.</w:t>
      </w:r>
    </w:p>
    <w:p w14:paraId="7187B379" w14:textId="0563D0AD" w:rsidR="00510359" w:rsidRDefault="00510359" w:rsidP="00510359">
      <w:pPr>
        <w:pStyle w:val="Heading2"/>
      </w:pPr>
      <w:r>
        <w:t>Property boundaries</w:t>
      </w:r>
    </w:p>
    <w:p w14:paraId="4ED88871" w14:textId="31FBFC4E" w:rsidR="00510359" w:rsidRDefault="00510359" w:rsidP="0021364B">
      <w:r w:rsidRPr="00510359">
        <w:t xml:space="preserve">VF is not a boundary fence. It does not prevent </w:t>
      </w:r>
      <w:proofErr w:type="spellStart"/>
      <w:r w:rsidRPr="00510359">
        <w:t>neighbouring</w:t>
      </w:r>
      <w:proofErr w:type="spellEnd"/>
      <w:r w:rsidRPr="00510359">
        <w:t xml:space="preserve"> cattle entering and does not establish a legal land boundary. CMA-supported funding arrangements should state this explicitly.</w:t>
      </w:r>
    </w:p>
    <w:p w14:paraId="236F9499" w14:textId="464F5B0F" w:rsidR="0021364B" w:rsidRDefault="00510359" w:rsidP="00510359">
      <w:pPr>
        <w:pStyle w:val="Heading2"/>
      </w:pPr>
      <w:r>
        <w:t>Animal welfare</w:t>
      </w:r>
    </w:p>
    <w:p w14:paraId="2C0731EC" w14:textId="676F3A15" w:rsidR="00A56170" w:rsidRDefault="00A56170" w:rsidP="00A56170">
      <w:r>
        <w:t xml:space="preserve">Animal welfare evidence is generally reassuring, with </w:t>
      </w:r>
      <w:r w:rsidR="00846D11">
        <w:t xml:space="preserve">VF </w:t>
      </w:r>
      <w:r>
        <w:t xml:space="preserve">outcomes often comparable with electric fencing once cattle have learned the system. Nevertheless, welfare safeguards </w:t>
      </w:r>
      <w:r w:rsidR="00027F1F">
        <w:t xml:space="preserve">and public perceptions </w:t>
      </w:r>
      <w:r>
        <w:t xml:space="preserve">cannot be assumed. Communication should explain both the evidence and the limitations without dismissing community concerns. </w:t>
      </w:r>
    </w:p>
    <w:p w14:paraId="0B9D4CAC" w14:textId="5FCB37A0" w:rsidR="001D5E07" w:rsidRDefault="001D5E07" w:rsidP="001D5E07">
      <w:pPr>
        <w:pStyle w:val="Heading1"/>
      </w:pPr>
      <w:r>
        <w:t>Recommended pathway</w:t>
      </w:r>
      <w:r w:rsidR="00374526">
        <w:t>:</w:t>
      </w:r>
      <w:r>
        <w:t xml:space="preserve"> from evidence-building to potential adoption</w:t>
      </w:r>
    </w:p>
    <w:p w14:paraId="24143524" w14:textId="0E5BAA63" w:rsidR="001D5E07" w:rsidRDefault="001D5E07" w:rsidP="001D5E07">
      <w:r>
        <w:t xml:space="preserve">The limitations and uncertainties </w:t>
      </w:r>
      <w:r w:rsidR="00087E19">
        <w:t>outlined in previous sections</w:t>
      </w:r>
      <w:r>
        <w:t xml:space="preserve"> do not necessarily </w:t>
      </w:r>
      <w:r w:rsidR="00087E19">
        <w:t>prevent</w:t>
      </w:r>
      <w:r>
        <w:t xml:space="preserve"> </w:t>
      </w:r>
      <w:r w:rsidR="00FE3F3F">
        <w:t xml:space="preserve">CMAs from adopting </w:t>
      </w:r>
      <w:r>
        <w:t>VF</w:t>
      </w:r>
      <w:r w:rsidR="00FE3F3F">
        <w:t xml:space="preserve"> technology as a riparian management tool</w:t>
      </w:r>
      <w:r>
        <w:t xml:space="preserve">. However, they </w:t>
      </w:r>
      <w:r w:rsidR="00FE3F3F">
        <w:t xml:space="preserve">do </w:t>
      </w:r>
      <w:r>
        <w:t>indicate that CMA</w:t>
      </w:r>
      <w:r w:rsidR="004007DA">
        <w:t>s</w:t>
      </w:r>
      <w:r>
        <w:t xml:space="preserve"> should </w:t>
      </w:r>
      <w:r w:rsidR="004007DA">
        <w:t>not assume</w:t>
      </w:r>
      <w:r>
        <w:t xml:space="preserve"> VF </w:t>
      </w:r>
      <w:r w:rsidR="00AD06B5">
        <w:t>i</w:t>
      </w:r>
      <w:r>
        <w:t>s a proven, landscape-wide substitute for physical fencing. Instead, its role should be established progressively through practical experience, comparative evaluation and the development of appropriate operating and governance arrangements.</w:t>
      </w:r>
    </w:p>
    <w:p w14:paraId="6DF80394" w14:textId="025E511F" w:rsidR="001D5E07" w:rsidRDefault="001D5E07" w:rsidP="001D5E07">
      <w:r>
        <w:t xml:space="preserve">The </w:t>
      </w:r>
      <w:r w:rsidR="00F32AC7">
        <w:t xml:space="preserve">following </w:t>
      </w:r>
      <w:r>
        <w:t xml:space="preserve">proposed pathway has three stages, </w:t>
      </w:r>
      <w:proofErr w:type="spellStart"/>
      <w:r>
        <w:t>recognising</w:t>
      </w:r>
      <w:proofErr w:type="spellEnd"/>
      <w:r>
        <w:t xml:space="preserve"> that early activity may be driven by landholder interest, existing relationships and available funding opportunities rather than a fully defined investment program.</w:t>
      </w:r>
    </w:p>
    <w:p w14:paraId="5BF24E5C" w14:textId="77777777" w:rsidR="001D5E07" w:rsidRDefault="001D5E07" w:rsidP="00AD06B5">
      <w:pPr>
        <w:pStyle w:val="Heading2"/>
      </w:pPr>
      <w:r>
        <w:t>Stage 1: Early-adopter partnerships</w:t>
      </w:r>
    </w:p>
    <w:p w14:paraId="31CACE7C" w14:textId="00E5EEC3" w:rsidR="001D5E07" w:rsidRDefault="001D5E07" w:rsidP="001D5E07">
      <w:r>
        <w:t>Work with landholders who are independently adopting VF. CMA</w:t>
      </w:r>
      <w:r w:rsidR="00435DAE">
        <w:t>s</w:t>
      </w:r>
      <w:r>
        <w:t xml:space="preserve"> should observe rather than direct farm decisions, while building internal </w:t>
      </w:r>
      <w:r w:rsidR="002A6005">
        <w:t xml:space="preserve">VF </w:t>
      </w:r>
      <w:r>
        <w:t xml:space="preserve">capability, seeking voluntary access to relevant information and documenting technical, </w:t>
      </w:r>
      <w:proofErr w:type="spellStart"/>
      <w:r>
        <w:t>behavioural</w:t>
      </w:r>
      <w:proofErr w:type="spellEnd"/>
      <w:r>
        <w:t xml:space="preserve"> and operational lessons. This provides a low-cost opportunity to test assumptions without transferring technology ownership or performance risk to CMA</w:t>
      </w:r>
      <w:r w:rsidR="00D53E09">
        <w:t>s</w:t>
      </w:r>
      <w:r>
        <w:t>.</w:t>
      </w:r>
    </w:p>
    <w:p w14:paraId="2045F7EC" w14:textId="77777777" w:rsidR="001D5E07" w:rsidRDefault="001D5E07" w:rsidP="00C702CA">
      <w:pPr>
        <w:pStyle w:val="Heading2"/>
      </w:pPr>
      <w:r>
        <w:t>Stage 2: CMA-funded pilots</w:t>
      </w:r>
    </w:p>
    <w:p w14:paraId="65720441" w14:textId="38672E54" w:rsidR="001D5E07" w:rsidRDefault="001D5E07" w:rsidP="001D5E07">
      <w:r>
        <w:t xml:space="preserve">Where suitable </w:t>
      </w:r>
      <w:r w:rsidR="00C702CA">
        <w:t xml:space="preserve">riparian </w:t>
      </w:r>
      <w:r>
        <w:t>opportunities arise, CMA</w:t>
      </w:r>
      <w:r w:rsidR="00D53E09">
        <w:t>s</w:t>
      </w:r>
      <w:r>
        <w:t xml:space="preserve"> may fund targeted pilots. Sites should be selected to generate useful evidence across a range of relevant conditions and should, where practicable, compare VF with realistic physica</w:t>
      </w:r>
      <w:r w:rsidR="00B34D51">
        <w:t xml:space="preserve">l </w:t>
      </w:r>
      <w:r>
        <w:t>fencing alternatives.</w:t>
      </w:r>
    </w:p>
    <w:p w14:paraId="1CF3EA48" w14:textId="77777777" w:rsidR="001D5E07" w:rsidRDefault="001D5E07" w:rsidP="001D5E07">
      <w:r>
        <w:t xml:space="preserve">Pilots should be structured around clearly defined performance, welfare, data-governance and reporting requirements. They should also establish how technical failures, </w:t>
      </w:r>
      <w:proofErr w:type="gramStart"/>
      <w:r>
        <w:t>animal-welfare</w:t>
      </w:r>
      <w:proofErr w:type="gramEnd"/>
      <w:r>
        <w:t xml:space="preserve"> issues and compliance concerns will be identified and managed.</w:t>
      </w:r>
    </w:p>
    <w:p w14:paraId="53EAC23F" w14:textId="77777777" w:rsidR="001D5E07" w:rsidRDefault="001D5E07" w:rsidP="00C82B85">
      <w:pPr>
        <w:pStyle w:val="Heading2"/>
      </w:pPr>
      <w:r>
        <w:t>Stage 3: Evaluation and refinement</w:t>
      </w:r>
    </w:p>
    <w:p w14:paraId="3716FF39" w14:textId="795739A5" w:rsidR="001D5E07" w:rsidRDefault="001D5E07" w:rsidP="001D5E07">
      <w:r>
        <w:t xml:space="preserve">Evidence from partnerships and pilots should </w:t>
      </w:r>
      <w:r w:rsidR="00C82B85">
        <w:t xml:space="preserve">then </w:t>
      </w:r>
      <w:r>
        <w:t>be assessed against practical questions, including:</w:t>
      </w:r>
    </w:p>
    <w:p w14:paraId="17A67ED9" w14:textId="34A08CCE" w:rsidR="001D5E07" w:rsidRDefault="001D5E07" w:rsidP="00C82B85">
      <w:pPr>
        <w:pStyle w:val="ListParagraph"/>
        <w:numPr>
          <w:ilvl w:val="0"/>
          <w:numId w:val="45"/>
        </w:numPr>
      </w:pPr>
      <w:r>
        <w:t xml:space="preserve">Can VF reliably exclude livestock in </w:t>
      </w:r>
      <w:r w:rsidR="00830C1A">
        <w:t>riparian</w:t>
      </w:r>
      <w:r>
        <w:t xml:space="preserve"> setting</w:t>
      </w:r>
      <w:r w:rsidR="00830C1A">
        <w:t>s</w:t>
      </w:r>
      <w:r>
        <w:t>?</w:t>
      </w:r>
    </w:p>
    <w:p w14:paraId="695D1708" w14:textId="77777777" w:rsidR="001D5E07" w:rsidRDefault="001D5E07" w:rsidP="00C82B85">
      <w:pPr>
        <w:pStyle w:val="ListParagraph"/>
        <w:numPr>
          <w:ilvl w:val="0"/>
          <w:numId w:val="45"/>
        </w:numPr>
      </w:pPr>
      <w:r>
        <w:t>Does performance remain adequate with variable GPS coverage, connectivity or power supply?</w:t>
      </w:r>
    </w:p>
    <w:p w14:paraId="334983B2" w14:textId="6D647C11" w:rsidR="001D5E07" w:rsidRDefault="001D5E07" w:rsidP="00C82B85">
      <w:pPr>
        <w:pStyle w:val="ListParagraph"/>
        <w:numPr>
          <w:ilvl w:val="0"/>
          <w:numId w:val="45"/>
        </w:numPr>
      </w:pPr>
      <w:r>
        <w:t xml:space="preserve">Are </w:t>
      </w:r>
      <w:proofErr w:type="gramStart"/>
      <w:r>
        <w:t>animal-welfare</w:t>
      </w:r>
      <w:proofErr w:type="gramEnd"/>
      <w:r>
        <w:t xml:space="preserve"> risks identifiable and </w:t>
      </w:r>
      <w:r w:rsidR="008A6387">
        <w:t xml:space="preserve">can they be </w:t>
      </w:r>
      <w:r>
        <w:t>appropriately managed?</w:t>
      </w:r>
    </w:p>
    <w:p w14:paraId="264E0BD2" w14:textId="77777777" w:rsidR="001D5E07" w:rsidRDefault="001D5E07" w:rsidP="00C82B85">
      <w:pPr>
        <w:pStyle w:val="ListParagraph"/>
        <w:numPr>
          <w:ilvl w:val="0"/>
          <w:numId w:val="45"/>
        </w:numPr>
      </w:pPr>
      <w:r>
        <w:t>Does VF deliver comparable or better environmental outcomes than feasible alternatives?</w:t>
      </w:r>
    </w:p>
    <w:p w14:paraId="1B284E0F" w14:textId="77777777" w:rsidR="001D5E07" w:rsidRDefault="001D5E07" w:rsidP="00C82B85">
      <w:pPr>
        <w:pStyle w:val="ListParagraph"/>
        <w:numPr>
          <w:ilvl w:val="0"/>
          <w:numId w:val="45"/>
        </w:numPr>
      </w:pPr>
      <w:r>
        <w:t>What are the initial and ongoing costs, including monitoring and staff effort?</w:t>
      </w:r>
    </w:p>
    <w:p w14:paraId="744755F6" w14:textId="77777777" w:rsidR="001D5E07" w:rsidRDefault="001D5E07" w:rsidP="00C82B85">
      <w:pPr>
        <w:pStyle w:val="ListParagraph"/>
        <w:numPr>
          <w:ilvl w:val="0"/>
          <w:numId w:val="45"/>
        </w:numPr>
      </w:pPr>
      <w:r>
        <w:lastRenderedPageBreak/>
        <w:t>Are ownership, access, privacy and retention arrangements for location and compliance data acceptable?</w:t>
      </w:r>
    </w:p>
    <w:p w14:paraId="6FB9A744" w14:textId="77777777" w:rsidR="001D5E07" w:rsidRDefault="001D5E07" w:rsidP="00C82B85">
      <w:pPr>
        <w:pStyle w:val="ListParagraph"/>
        <w:numPr>
          <w:ilvl w:val="0"/>
          <w:numId w:val="45"/>
        </w:numPr>
      </w:pPr>
      <w:r>
        <w:t>Does the CMA have the capability to assess, administer and monitor VF-supported arrangements?</w:t>
      </w:r>
    </w:p>
    <w:p w14:paraId="41C05396" w14:textId="1F9CAC73" w:rsidR="001D5E07" w:rsidRDefault="001D5E07" w:rsidP="001D5E07">
      <w:r>
        <w:t xml:space="preserve">The findings should be used to refine eligibility requirements, operating conditions and future funding </w:t>
      </w:r>
      <w:r w:rsidR="00BD5295">
        <w:t>support</w:t>
      </w:r>
      <w:r>
        <w:t>.</w:t>
      </w:r>
    </w:p>
    <w:p w14:paraId="3EC66807" w14:textId="77777777" w:rsidR="001D5E07" w:rsidRDefault="001D5E07" w:rsidP="00BD5295">
      <w:pPr>
        <w:pStyle w:val="Heading1"/>
      </w:pPr>
      <w:r>
        <w:t>Decision framework for future support</w:t>
      </w:r>
    </w:p>
    <w:p w14:paraId="5A12ABD6" w14:textId="2AF8E444" w:rsidR="001D5E07" w:rsidRDefault="001D5E07" w:rsidP="001D5E07">
      <w:r>
        <w:t xml:space="preserve">Once sufficient evidence has been gathered, </w:t>
      </w:r>
      <w:r w:rsidR="00694E81">
        <w:t>CMA</w:t>
      </w:r>
      <w:r w:rsidR="003876B9">
        <w:t>s</w:t>
      </w:r>
      <w:r>
        <w:t xml:space="preserve"> should apply a decision framework to determine whether VF is appropriate for a particular site, purpose and level of support. Proposed applications should be assessed against five core criteria:</w:t>
      </w:r>
    </w:p>
    <w:p w14:paraId="3BA26346" w14:textId="77777777" w:rsidR="001D5E07" w:rsidRDefault="001D5E07" w:rsidP="00482AC2">
      <w:pPr>
        <w:pStyle w:val="ListParagraph"/>
        <w:numPr>
          <w:ilvl w:val="0"/>
          <w:numId w:val="46"/>
        </w:numPr>
      </w:pPr>
      <w:r>
        <w:t>Landscape suitability: whether terrain, waterways, vegetation, remoteness, connectivity and environmental values are compatible with reliable operation.</w:t>
      </w:r>
    </w:p>
    <w:p w14:paraId="5FC75709" w14:textId="77777777" w:rsidR="001D5E07" w:rsidRDefault="001D5E07" w:rsidP="00482AC2">
      <w:pPr>
        <w:pStyle w:val="ListParagraph"/>
        <w:numPr>
          <w:ilvl w:val="0"/>
          <w:numId w:val="46"/>
        </w:numPr>
      </w:pPr>
      <w:r>
        <w:t>Farming-system compatibility: whether VF can be integrated with grazing management, stock movements and normal farm operations.</w:t>
      </w:r>
    </w:p>
    <w:p w14:paraId="7D62CF9B" w14:textId="77777777" w:rsidR="001D5E07" w:rsidRDefault="001D5E07" w:rsidP="00482AC2">
      <w:pPr>
        <w:pStyle w:val="ListParagraph"/>
        <w:numPr>
          <w:ilvl w:val="0"/>
          <w:numId w:val="46"/>
        </w:numPr>
      </w:pPr>
      <w:r>
        <w:t>Landholder readiness: whether the landholder can operate and maintain the system, respond to alerts, participate in monitoring and comply with agreed conditions.</w:t>
      </w:r>
    </w:p>
    <w:p w14:paraId="52C35742" w14:textId="49FF264F" w:rsidR="001D5E07" w:rsidRDefault="001D5E07" w:rsidP="00482AC2">
      <w:pPr>
        <w:pStyle w:val="ListParagraph"/>
        <w:numPr>
          <w:ilvl w:val="0"/>
          <w:numId w:val="46"/>
        </w:numPr>
      </w:pPr>
      <w:r>
        <w:t xml:space="preserve">Compliance feasibility: whether </w:t>
      </w:r>
      <w:r w:rsidR="00804DF2">
        <w:t xml:space="preserve">livestock </w:t>
      </w:r>
      <w:r>
        <w:t>exclusion performance can be demonstrated, failures can be detected and corrective action can be taken within an appropriate timeframe.</w:t>
      </w:r>
    </w:p>
    <w:p w14:paraId="2AF752D3" w14:textId="77777777" w:rsidR="001D5E07" w:rsidRDefault="001D5E07" w:rsidP="00482AC2">
      <w:pPr>
        <w:pStyle w:val="ListParagraph"/>
        <w:numPr>
          <w:ilvl w:val="0"/>
          <w:numId w:val="46"/>
        </w:numPr>
      </w:pPr>
      <w:r>
        <w:t>Cost-benefit alignment: whether the environmental and operational benefits justify the cost, uncertainty and residual risk compared with physical or hybrid fencing.</w:t>
      </w:r>
    </w:p>
    <w:p w14:paraId="2B8641BC" w14:textId="66F8691D" w:rsidR="00463DD8" w:rsidRDefault="00DB11F6" w:rsidP="00BB7861">
      <w:r w:rsidRPr="00DB11F6">
        <w:t>If any condition fails, CMAs should default to physical fencing or</w:t>
      </w:r>
      <w:r w:rsidR="00CC2BF5">
        <w:t xml:space="preserve"> other</w:t>
      </w:r>
      <w:r w:rsidRPr="00DB11F6">
        <w:t xml:space="preserve"> </w:t>
      </w:r>
      <w:r>
        <w:t>livestock control methods</w:t>
      </w:r>
      <w:r w:rsidRPr="00DB11F6">
        <w:t>.</w:t>
      </w:r>
    </w:p>
    <w:p w14:paraId="60061E4C" w14:textId="2E8A4C3A" w:rsidR="002A0FDD" w:rsidRPr="0000102E" w:rsidRDefault="00256C58" w:rsidP="0000102E">
      <w:pPr>
        <w:pStyle w:val="Heading1"/>
      </w:pPr>
      <w:r w:rsidRPr="0000102E">
        <w:t>Conclusions</w:t>
      </w:r>
    </w:p>
    <w:p w14:paraId="4E5A63DF" w14:textId="74284C0B" w:rsidR="000B4CCB" w:rsidRDefault="000B4CCB" w:rsidP="000B4CCB">
      <w:r>
        <w:t xml:space="preserve">VF has genuine potential to improve riparian management in Victorian landscapes where flood, terrain or ecological constraints make physical fencing difficult. Its ability to provide riparian outcomes is promising but not yet proven at the scale required for </w:t>
      </w:r>
      <w:r w:rsidR="004C5428">
        <w:t>active</w:t>
      </w:r>
      <w:r>
        <w:t xml:space="preserve"> public investment. </w:t>
      </w:r>
      <w:r w:rsidR="00141F33">
        <w:t xml:space="preserve">As such, </w:t>
      </w:r>
      <w:proofErr w:type="gramStart"/>
      <w:r w:rsidR="00141F33">
        <w:t>t</w:t>
      </w:r>
      <w:r>
        <w:t>he technology</w:t>
      </w:r>
      <w:proofErr w:type="gramEnd"/>
      <w:r>
        <w:t xml:space="preserve"> </w:t>
      </w:r>
      <w:r w:rsidR="00263C52">
        <w:t>should be considered</w:t>
      </w:r>
      <w:r>
        <w:t xml:space="preserve"> a targeted and potentially complementary </w:t>
      </w:r>
      <w:r w:rsidR="00FF7129">
        <w:t xml:space="preserve">riparian management </w:t>
      </w:r>
      <w:r>
        <w:t xml:space="preserve">tool, not a universal replacement for physical fencing. </w:t>
      </w:r>
    </w:p>
    <w:p w14:paraId="1B4A56BE" w14:textId="2D063078" w:rsidR="000B4CCB" w:rsidRDefault="000B4CCB" w:rsidP="000B4CCB">
      <w:r>
        <w:t>Before CMAs actively</w:t>
      </w:r>
      <w:r w:rsidR="00FF7129" w:rsidRPr="00FF7129">
        <w:t xml:space="preserve"> </w:t>
      </w:r>
      <w:r w:rsidR="00FF7129" w:rsidRPr="00FF7129">
        <w:t>invest</w:t>
      </w:r>
      <w:r w:rsidR="00B13ABE">
        <w:t xml:space="preserve"> in VF</w:t>
      </w:r>
      <w:r>
        <w:t xml:space="preserve">, </w:t>
      </w:r>
      <w:r w:rsidR="00051FD7">
        <w:t xml:space="preserve">there </w:t>
      </w:r>
      <w:proofErr w:type="gramStart"/>
      <w:r w:rsidR="00051FD7">
        <w:t>is</w:t>
      </w:r>
      <w:proofErr w:type="gramEnd"/>
      <w:r w:rsidR="00051FD7">
        <w:t xml:space="preserve"> a need to</w:t>
      </w:r>
      <w:r>
        <w:t xml:space="preserve"> establish consistent expectations for compliance, monitoring, data governance, cost allocation and regulation. The recommended path is sequential: learn with early adopters, test with well-designed CMA</w:t>
      </w:r>
      <w:r w:rsidR="00DC6DE0">
        <w:t>-funded</w:t>
      </w:r>
      <w:r>
        <w:t xml:space="preserve"> pilots and only then consider broader investment. This approach </w:t>
      </w:r>
      <w:proofErr w:type="spellStart"/>
      <w:r>
        <w:t>recognises</w:t>
      </w:r>
      <w:proofErr w:type="spellEnd"/>
      <w:r>
        <w:t xml:space="preserve"> the promise of VF while ensuring that public funding remains transparent, environmentally effective and defensible.</w:t>
      </w:r>
    </w:p>
    <w:p w14:paraId="6A817BB7" w14:textId="77777777" w:rsidR="00F57229" w:rsidRDefault="00F57229" w:rsidP="00F57229">
      <w:pPr>
        <w:pStyle w:val="Heading1"/>
      </w:pPr>
      <w:r>
        <w:t>Acknowled</w:t>
      </w:r>
      <w:r>
        <w:rPr>
          <w:spacing w:val="2"/>
        </w:rPr>
        <w:t>g</w:t>
      </w:r>
      <w:r>
        <w:rPr>
          <w:spacing w:val="-1"/>
        </w:rPr>
        <w:t>m</w:t>
      </w:r>
      <w:r>
        <w:t>ents</w:t>
      </w:r>
    </w:p>
    <w:p w14:paraId="04740EB9" w14:textId="247A1032" w:rsidR="00F57229" w:rsidRPr="00A433DE" w:rsidRDefault="00483D1A" w:rsidP="00F57229">
      <w:r w:rsidRPr="00483D1A">
        <w:t>This paper has been developed from a report funded through DEECA</w:t>
      </w:r>
      <w:r>
        <w:t>s</w:t>
      </w:r>
      <w:r w:rsidRPr="00483D1A">
        <w:t xml:space="preserve"> Regional Waterway</w:t>
      </w:r>
      <w:r>
        <w:t>s</w:t>
      </w:r>
      <w:r w:rsidRPr="00483D1A">
        <w:t xml:space="preserve"> Program. The contribution</w:t>
      </w:r>
      <w:r w:rsidR="00EC50E4">
        <w:t>s</w:t>
      </w:r>
      <w:r w:rsidRPr="00483D1A">
        <w:t xml:space="preserve"> of Peter </w:t>
      </w:r>
      <w:r>
        <w:t xml:space="preserve">Vollebergh </w:t>
      </w:r>
      <w:r w:rsidR="003C7AE3">
        <w:t xml:space="preserve">(DEECA) </w:t>
      </w:r>
      <w:r>
        <w:t>a</w:t>
      </w:r>
      <w:r w:rsidR="003C7AE3">
        <w:t>nd</w:t>
      </w:r>
      <w:r w:rsidRPr="00483D1A">
        <w:t xml:space="preserve"> Tracey</w:t>
      </w:r>
      <w:r w:rsidR="00FE47BC">
        <w:t xml:space="preserve"> Miller-Armstrong</w:t>
      </w:r>
      <w:r w:rsidRPr="00483D1A">
        <w:t xml:space="preserve"> </w:t>
      </w:r>
      <w:r w:rsidR="003C7AE3">
        <w:t>(</w:t>
      </w:r>
      <w:r w:rsidRPr="00483D1A">
        <w:t>DEECA</w:t>
      </w:r>
      <w:r w:rsidR="003C7AE3">
        <w:t>)</w:t>
      </w:r>
      <w:r w:rsidRPr="00483D1A">
        <w:t xml:space="preserve"> </w:t>
      </w:r>
      <w:r w:rsidR="00EC50E4">
        <w:t>are</w:t>
      </w:r>
      <w:r w:rsidRPr="00483D1A">
        <w:t xml:space="preserve"> gratefully acknowledged, along with the Victorian CMAs </w:t>
      </w:r>
      <w:r w:rsidR="00FE47BC">
        <w:t>who</w:t>
      </w:r>
      <w:r w:rsidRPr="00483D1A">
        <w:t xml:space="preserve"> contributed to the survey and workshop. </w:t>
      </w:r>
    </w:p>
    <w:p w14:paraId="2972A9B4" w14:textId="77777777" w:rsidR="00F57229" w:rsidRDefault="00F57229" w:rsidP="00F57229">
      <w:pPr>
        <w:pStyle w:val="Heading1"/>
      </w:pPr>
      <w:r>
        <w:t>Ref</w:t>
      </w:r>
      <w:r>
        <w:rPr>
          <w:spacing w:val="1"/>
        </w:rPr>
        <w:t>e</w:t>
      </w:r>
      <w:r>
        <w:t>ren</w:t>
      </w:r>
      <w:r>
        <w:rPr>
          <w:spacing w:val="1"/>
        </w:rPr>
        <w:t>c</w:t>
      </w:r>
      <w:r>
        <w:t>es</w:t>
      </w:r>
    </w:p>
    <w:p w14:paraId="2EE52A85" w14:textId="77777777" w:rsidR="00F57229" w:rsidRDefault="00F57229" w:rsidP="00F57229">
      <w:pPr>
        <w:widowControl w:val="0"/>
        <w:autoSpaceDE w:val="0"/>
        <w:autoSpaceDN w:val="0"/>
        <w:adjustRightInd w:val="0"/>
        <w:spacing w:before="12" w:after="0" w:line="240" w:lineRule="exact"/>
        <w:rPr>
          <w:color w:val="000000"/>
          <w:sz w:val="24"/>
          <w:szCs w:val="24"/>
        </w:rPr>
      </w:pPr>
    </w:p>
    <w:p w14:paraId="00E7C0B3" w14:textId="27FF8E2C" w:rsidR="00F57229" w:rsidRDefault="00F57229" w:rsidP="00F57229">
      <w:pPr>
        <w:widowControl w:val="0"/>
        <w:autoSpaceDE w:val="0"/>
        <w:autoSpaceDN w:val="0"/>
        <w:adjustRightInd w:val="0"/>
        <w:spacing w:after="0"/>
        <w:ind w:left="354" w:right="526" w:hanging="240"/>
        <w:rPr>
          <w:color w:val="000000"/>
        </w:rPr>
      </w:pPr>
      <w:r w:rsidRPr="00F57229">
        <w:rPr>
          <w:color w:val="000000"/>
        </w:rPr>
        <w:t xml:space="preserve">Campbell, D. et al., 2018. Temporary exclusion of cattle from a riparian zone using virtual fencing technology. Animals, 9(1), 5. </w:t>
      </w:r>
      <w:hyperlink r:id="rId14" w:history="1">
        <w:r w:rsidRPr="009E68C0">
          <w:rPr>
            <w:rStyle w:val="Hyperlink"/>
          </w:rPr>
          <w:t>https://doi.org/10.3390/ani9010005</w:t>
        </w:r>
      </w:hyperlink>
    </w:p>
    <w:p w14:paraId="664C0691" w14:textId="02487492" w:rsidR="00F57229" w:rsidRDefault="00F57229" w:rsidP="00F57229">
      <w:pPr>
        <w:widowControl w:val="0"/>
        <w:autoSpaceDE w:val="0"/>
        <w:autoSpaceDN w:val="0"/>
        <w:adjustRightInd w:val="0"/>
        <w:spacing w:after="0"/>
        <w:ind w:left="354" w:right="526" w:hanging="240"/>
        <w:rPr>
          <w:color w:val="000000"/>
        </w:rPr>
      </w:pPr>
      <w:r w:rsidRPr="00F57229">
        <w:rPr>
          <w:color w:val="000000"/>
        </w:rPr>
        <w:t xml:space="preserve">Campbell, D. et al., 2020. Virtual Fencing Technology Excludes Beef Cattle from an Environmentally Sensitive Area, </w:t>
      </w:r>
      <w:proofErr w:type="spellStart"/>
      <w:r w:rsidRPr="00F57229">
        <w:rPr>
          <w:color w:val="000000"/>
        </w:rPr>
        <w:t>s.l.</w:t>
      </w:r>
      <w:proofErr w:type="spellEnd"/>
      <w:r w:rsidRPr="00F57229">
        <w:rPr>
          <w:color w:val="000000"/>
        </w:rPr>
        <w:t xml:space="preserve">: Animals, 10(6), 1069. </w:t>
      </w:r>
      <w:hyperlink r:id="rId15" w:history="1">
        <w:r w:rsidRPr="009E68C0">
          <w:rPr>
            <w:rStyle w:val="Hyperlink"/>
          </w:rPr>
          <w:t>https://doi.org/10.3390/ani10061069</w:t>
        </w:r>
      </w:hyperlink>
    </w:p>
    <w:p w14:paraId="0F41DAC2" w14:textId="3BE4209A" w:rsidR="00004615" w:rsidRDefault="00FF54F5" w:rsidP="00F57229">
      <w:pPr>
        <w:widowControl w:val="0"/>
        <w:autoSpaceDE w:val="0"/>
        <w:autoSpaceDN w:val="0"/>
        <w:adjustRightInd w:val="0"/>
        <w:spacing w:after="0"/>
        <w:ind w:left="354" w:right="526" w:hanging="240"/>
        <w:rPr>
          <w:color w:val="000000"/>
        </w:rPr>
      </w:pPr>
      <w:r w:rsidRPr="00FF54F5">
        <w:rPr>
          <w:color w:val="000000"/>
        </w:rPr>
        <w:t>Duval, D. et al., 2025. Foundations of Virtual Fencing: Economics of Virtual Fence (VF) Systems. College of Agriculture, Life &amp; Environmental Sciences, University of Arizona (Tuc.</w:t>
      </w:r>
    </w:p>
    <w:p w14:paraId="5ACA1F59" w14:textId="4B68D1B5" w:rsidR="00F57229" w:rsidRDefault="00F57229" w:rsidP="00F57229">
      <w:pPr>
        <w:widowControl w:val="0"/>
        <w:autoSpaceDE w:val="0"/>
        <w:autoSpaceDN w:val="0"/>
        <w:adjustRightInd w:val="0"/>
        <w:spacing w:after="0"/>
        <w:ind w:left="354" w:right="526" w:hanging="240"/>
        <w:rPr>
          <w:color w:val="000000"/>
        </w:rPr>
      </w:pPr>
      <w:r w:rsidRPr="00F57229">
        <w:rPr>
          <w:color w:val="000000"/>
        </w:rPr>
        <w:t xml:space="preserve">Eastwood, C., Dela Rue, </w:t>
      </w:r>
      <w:proofErr w:type="gramStart"/>
      <w:r w:rsidRPr="00F57229">
        <w:rPr>
          <w:color w:val="000000"/>
        </w:rPr>
        <w:t>B. &amp;</w:t>
      </w:r>
      <w:proofErr w:type="gramEnd"/>
      <w:r w:rsidRPr="00F57229">
        <w:rPr>
          <w:color w:val="000000"/>
        </w:rPr>
        <w:t xml:space="preserve"> Hall, L., 2026. Farmer experiences with virtual fencing: Adoption, adaptation, and farm-system change in New Zealand pasture-based dairy systems.</w:t>
      </w:r>
    </w:p>
    <w:p w14:paraId="7BAAB55D" w14:textId="4495FDE2" w:rsidR="00F57229" w:rsidRDefault="00F57229" w:rsidP="00F57229">
      <w:pPr>
        <w:widowControl w:val="0"/>
        <w:autoSpaceDE w:val="0"/>
        <w:autoSpaceDN w:val="0"/>
        <w:adjustRightInd w:val="0"/>
        <w:spacing w:after="0"/>
        <w:ind w:left="354" w:right="526" w:hanging="240"/>
        <w:rPr>
          <w:color w:val="000000"/>
        </w:rPr>
      </w:pPr>
      <w:proofErr w:type="spellStart"/>
      <w:r w:rsidRPr="00F57229">
        <w:rPr>
          <w:color w:val="000000"/>
        </w:rPr>
        <w:t>Gadzama</w:t>
      </w:r>
      <w:proofErr w:type="spellEnd"/>
      <w:r w:rsidRPr="00F57229">
        <w:rPr>
          <w:color w:val="000000"/>
        </w:rPr>
        <w:t xml:space="preserve">, I., Asadi, H., Hina, Q. &amp; Ray, S., 2025. Influence of virtual fencing technology in cattle </w:t>
      </w:r>
      <w:r w:rsidRPr="00F57229">
        <w:rPr>
          <w:color w:val="000000"/>
        </w:rPr>
        <w:lastRenderedPageBreak/>
        <w:t xml:space="preserve">management and animal welfare. Ruminants, 5(2), 21. </w:t>
      </w:r>
      <w:hyperlink r:id="rId16" w:history="1">
        <w:r w:rsidRPr="009E68C0">
          <w:rPr>
            <w:rStyle w:val="Hyperlink"/>
          </w:rPr>
          <w:t>https://doi.org/10.3390/ruminants5020021</w:t>
        </w:r>
      </w:hyperlink>
    </w:p>
    <w:p w14:paraId="20F8F63F" w14:textId="01FDA130" w:rsidR="00F57229" w:rsidRDefault="00F57229" w:rsidP="00F57229">
      <w:pPr>
        <w:widowControl w:val="0"/>
        <w:autoSpaceDE w:val="0"/>
        <w:autoSpaceDN w:val="0"/>
        <w:adjustRightInd w:val="0"/>
        <w:spacing w:after="0"/>
        <w:ind w:left="354" w:right="526" w:hanging="240"/>
        <w:rPr>
          <w:color w:val="000000"/>
        </w:rPr>
      </w:pPr>
      <w:r w:rsidRPr="00F57229">
        <w:rPr>
          <w:color w:val="000000"/>
        </w:rPr>
        <w:t xml:space="preserve">Lomax, S., </w:t>
      </w:r>
      <w:proofErr w:type="spellStart"/>
      <w:r w:rsidRPr="00F57229">
        <w:rPr>
          <w:color w:val="000000"/>
        </w:rPr>
        <w:t>Colusso</w:t>
      </w:r>
      <w:proofErr w:type="spellEnd"/>
      <w:r w:rsidRPr="00F57229">
        <w:rPr>
          <w:color w:val="000000"/>
        </w:rPr>
        <w:t xml:space="preserve">, P. &amp; Clark, C., 2019. Does virtual fencing work for grazing dairy cattle? Animals, 9(7), 429. </w:t>
      </w:r>
      <w:hyperlink r:id="rId17" w:history="1">
        <w:r w:rsidRPr="009E68C0">
          <w:rPr>
            <w:rStyle w:val="Hyperlink"/>
          </w:rPr>
          <w:t>https://doi.org/10.3390/ani9070429</w:t>
        </w:r>
      </w:hyperlink>
    </w:p>
    <w:p w14:paraId="31ABF3A6" w14:textId="5B24D92F" w:rsidR="007337B7" w:rsidRDefault="00257312" w:rsidP="00F57229">
      <w:pPr>
        <w:widowControl w:val="0"/>
        <w:autoSpaceDE w:val="0"/>
        <w:autoSpaceDN w:val="0"/>
        <w:adjustRightInd w:val="0"/>
        <w:spacing w:after="0"/>
        <w:ind w:left="354" w:right="526" w:hanging="240"/>
        <w:rPr>
          <w:color w:val="000000"/>
        </w:rPr>
      </w:pPr>
      <w:r w:rsidRPr="00257312">
        <w:rPr>
          <w:color w:val="000000"/>
        </w:rPr>
        <w:t>Mayer, B. et al., 2024. Foundations of Virtual Fencing: Exploring the Complexities and Challenges, (Tucson, AZ: College of Agriculture, Life &amp; Environmental Sciences, University of Arizona.</w:t>
      </w:r>
    </w:p>
    <w:p w14:paraId="781909FF" w14:textId="2DEB29B6" w:rsidR="00F57229" w:rsidRDefault="00F41C13" w:rsidP="00F57229">
      <w:pPr>
        <w:widowControl w:val="0"/>
        <w:autoSpaceDE w:val="0"/>
        <w:autoSpaceDN w:val="0"/>
        <w:adjustRightInd w:val="0"/>
        <w:spacing w:after="0"/>
        <w:ind w:left="354" w:right="526" w:hanging="240"/>
        <w:rPr>
          <w:color w:val="000000"/>
        </w:rPr>
      </w:pPr>
      <w:r w:rsidRPr="00F41C13">
        <w:rPr>
          <w:color w:val="000000"/>
        </w:rPr>
        <w:t xml:space="preserve">Murray, B., </w:t>
      </w:r>
      <w:proofErr w:type="gramStart"/>
      <w:r w:rsidRPr="00F41C13">
        <w:rPr>
          <w:color w:val="000000"/>
        </w:rPr>
        <w:t>Wagner ,</w:t>
      </w:r>
      <w:proofErr w:type="gramEnd"/>
      <w:r w:rsidRPr="00F41C13">
        <w:rPr>
          <w:color w:val="000000"/>
        </w:rPr>
        <w:t xml:space="preserve"> K., Reuter, R. &amp; Goodman, L., 2025. Use of virtual fencing to implement critical conservation </w:t>
      </w:r>
      <w:proofErr w:type="gramStart"/>
      <w:r w:rsidRPr="00F41C13">
        <w:rPr>
          <w:color w:val="000000"/>
        </w:rPr>
        <w:t>practices..</w:t>
      </w:r>
      <w:proofErr w:type="gramEnd"/>
      <w:r w:rsidRPr="00F41C13">
        <w:rPr>
          <w:color w:val="000000"/>
        </w:rPr>
        <w:t xml:space="preserve"> Rangelands, 47(1), pp. 41-49.</w:t>
      </w:r>
    </w:p>
    <w:p w14:paraId="1224BACB" w14:textId="1794EE99" w:rsidR="00F57229" w:rsidRDefault="00F57229" w:rsidP="00F57229">
      <w:pPr>
        <w:widowControl w:val="0"/>
        <w:autoSpaceDE w:val="0"/>
        <w:autoSpaceDN w:val="0"/>
        <w:adjustRightInd w:val="0"/>
        <w:spacing w:after="0"/>
        <w:ind w:left="354" w:right="526" w:hanging="240"/>
        <w:rPr>
          <w:color w:val="000000"/>
        </w:rPr>
      </w:pPr>
      <w:r w:rsidRPr="00F57229">
        <w:rPr>
          <w:color w:val="000000"/>
        </w:rPr>
        <w:t xml:space="preserve">Pickard, J., 2010. Lines across the landscape: history, impact and heritage of Australian rural fences. Macquarie University. Thesis. </w:t>
      </w:r>
      <w:hyperlink r:id="rId18" w:history="1">
        <w:r w:rsidRPr="009E68C0">
          <w:rPr>
            <w:rStyle w:val="Hyperlink"/>
          </w:rPr>
          <w:t>https://doi.org/10.25949/19432097</w:t>
        </w:r>
      </w:hyperlink>
    </w:p>
    <w:p w14:paraId="531CE939" w14:textId="0281A012" w:rsidR="00F57229" w:rsidRDefault="00BF565D" w:rsidP="00F57229">
      <w:pPr>
        <w:widowControl w:val="0"/>
        <w:autoSpaceDE w:val="0"/>
        <w:autoSpaceDN w:val="0"/>
        <w:adjustRightInd w:val="0"/>
        <w:spacing w:after="0"/>
        <w:ind w:left="354" w:right="526" w:hanging="240"/>
        <w:rPr>
          <w:color w:val="000000"/>
        </w:rPr>
      </w:pPr>
      <w:r>
        <w:rPr>
          <w:color w:val="000000"/>
        </w:rPr>
        <w:t>Riverness</w:t>
      </w:r>
      <w:r w:rsidR="00F57229" w:rsidRPr="00F57229">
        <w:rPr>
          <w:color w:val="000000"/>
        </w:rPr>
        <w:t xml:space="preserve"> (2026).</w:t>
      </w:r>
      <w:r>
        <w:rPr>
          <w:color w:val="000000"/>
        </w:rPr>
        <w:t xml:space="preserve"> </w:t>
      </w:r>
      <w:r w:rsidR="00F4694E" w:rsidRPr="001B52F3">
        <w:rPr>
          <w:color w:val="000000"/>
        </w:rPr>
        <w:t>Virtual fencing in riparian areas</w:t>
      </w:r>
      <w:r w:rsidR="00F4694E">
        <w:rPr>
          <w:color w:val="000000"/>
        </w:rPr>
        <w:t xml:space="preserve">: </w:t>
      </w:r>
      <w:r w:rsidR="00F4694E" w:rsidRPr="00F4694E">
        <w:rPr>
          <w:color w:val="000000"/>
        </w:rPr>
        <w:t xml:space="preserve">evidence, risks and considerations for </w:t>
      </w:r>
      <w:r w:rsidR="00F4694E">
        <w:rPr>
          <w:color w:val="000000"/>
        </w:rPr>
        <w:t>C</w:t>
      </w:r>
      <w:r w:rsidR="00F4694E" w:rsidRPr="00F4694E">
        <w:rPr>
          <w:color w:val="000000"/>
        </w:rPr>
        <w:t xml:space="preserve">atchment </w:t>
      </w:r>
      <w:r w:rsidR="00F4694E">
        <w:rPr>
          <w:color w:val="000000"/>
        </w:rPr>
        <w:t>M</w:t>
      </w:r>
      <w:r w:rsidR="00F4694E" w:rsidRPr="00F4694E">
        <w:rPr>
          <w:color w:val="000000"/>
        </w:rPr>
        <w:t xml:space="preserve">anagement </w:t>
      </w:r>
      <w:r w:rsidR="00F4694E">
        <w:rPr>
          <w:color w:val="000000"/>
        </w:rPr>
        <w:t>A</w:t>
      </w:r>
      <w:r w:rsidR="00F4694E" w:rsidRPr="00F4694E">
        <w:rPr>
          <w:color w:val="000000"/>
        </w:rPr>
        <w:t>uthorities</w:t>
      </w:r>
      <w:r w:rsidR="00334F02">
        <w:rPr>
          <w:color w:val="000000"/>
        </w:rPr>
        <w:t xml:space="preserve"> (unpublished draft).</w:t>
      </w:r>
    </w:p>
    <w:p w14:paraId="565E2B56" w14:textId="77777777" w:rsidR="00256C58" w:rsidRDefault="00256C58" w:rsidP="00256C58"/>
    <w:sectPr w:rsidR="00256C58">
      <w:headerReference w:type="default" r:id="rId19"/>
      <w:footerReference w:type="even" r:id="rId20"/>
      <w:footerReference w:type="default" r:id="rId21"/>
      <w:footerReference w:type="first" r:id="rId22"/>
      <w:pgSz w:w="11920" w:h="16840"/>
      <w:pgMar w:top="1060" w:right="1060" w:bottom="0" w:left="1020" w:header="720" w:footer="720" w:gutter="0"/>
      <w:cols w:space="720" w:equalWidth="0">
        <w:col w:w="98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CE279" w14:textId="77777777" w:rsidR="00727229" w:rsidRDefault="00727229">
      <w:r>
        <w:separator/>
      </w:r>
    </w:p>
  </w:endnote>
  <w:endnote w:type="continuationSeparator" w:id="0">
    <w:p w14:paraId="28A58867" w14:textId="77777777" w:rsidR="00727229" w:rsidRDefault="00727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B14E" w14:textId="4BBED25A" w:rsidR="007F44DB" w:rsidRDefault="00663DE3">
    <w:pPr>
      <w:pStyle w:val="Footer"/>
      <w:framePr w:wrap="none" w:vAnchor="text" w:hAnchor="margin" w:xAlign="right" w:y="1"/>
      <w:rPr>
        <w:rStyle w:val="PageNumber"/>
      </w:rPr>
    </w:pPr>
    <w:r>
      <w:rPr>
        <w:noProof/>
      </w:rPr>
      <mc:AlternateContent>
        <mc:Choice Requires="wps">
          <w:drawing>
            <wp:anchor distT="0" distB="0" distL="0" distR="0" simplePos="0" relativeHeight="251658241" behindDoc="0" locked="0" layoutInCell="1" allowOverlap="1" wp14:anchorId="7298AAB9" wp14:editId="05449E2B">
              <wp:simplePos x="635" y="635"/>
              <wp:positionH relativeFrom="page">
                <wp:align>center</wp:align>
              </wp:positionH>
              <wp:positionV relativeFrom="page">
                <wp:align>bottom</wp:align>
              </wp:positionV>
              <wp:extent cx="637540" cy="376555"/>
              <wp:effectExtent l="0" t="0" r="10160" b="0"/>
              <wp:wrapNone/>
              <wp:docPr id="1884753424" name="Text Box 2"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7540" cy="376555"/>
                      </a:xfrm>
                      <a:prstGeom prst="rect">
                        <a:avLst/>
                      </a:prstGeom>
                      <a:noFill/>
                      <a:ln>
                        <a:noFill/>
                      </a:ln>
                    </wps:spPr>
                    <wps:txbx>
                      <w:txbxContent>
                        <w:p w14:paraId="4E0EC198" w14:textId="2725BB83"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98AAB9" id="_x0000_t202" coordsize="21600,21600" o:spt="202" path="m,l,21600r21600,l21600,xe">
              <v:stroke joinstyle="miter"/>
              <v:path gradientshapeok="t" o:connecttype="rect"/>
            </v:shapetype>
            <v:shape id="Text Box 2" o:spid="_x0000_s1026" type="#_x0000_t202" alt="Unofficial" style="position:absolute;margin-left:0;margin-top:0;width:50.2pt;height:29.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" filled="f" stroked="f">
              <v:textbox style="mso-fit-shape-to-text:t" inset="0,0,0,15pt">
                <w:txbxContent>
                  <w:p w14:paraId="4E0EC198" w14:textId="2725BB83"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v:textbox>
              <w10:wrap anchorx="page" anchory="page"/>
            </v:shape>
          </w:pict>
        </mc:Fallback>
      </mc:AlternateContent>
    </w:r>
    <w:r w:rsidR="007F44DB">
      <w:rPr>
        <w:rStyle w:val="PageNumber"/>
      </w:rPr>
      <w:fldChar w:fldCharType="begin"/>
    </w:r>
    <w:r w:rsidR="007F44DB">
      <w:rPr>
        <w:rStyle w:val="PageNumber"/>
      </w:rPr>
      <w:instrText xml:space="preserve"> PAGE </w:instrText>
    </w:r>
    <w:r w:rsidR="007F44DB">
      <w:rPr>
        <w:rStyle w:val="PageNumber"/>
      </w:rPr>
      <w:fldChar w:fldCharType="end"/>
    </w:r>
  </w:p>
  <w:p w14:paraId="738610EB" w14:textId="77777777" w:rsidR="007F44DB" w:rsidRDefault="007F44DB" w:rsidP="007F44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CB77" w14:textId="74A32FDA" w:rsidR="007F44DB" w:rsidRPr="007F44DB" w:rsidRDefault="00663DE3">
    <w:pPr>
      <w:pStyle w:val="Footer"/>
      <w:framePr w:wrap="none" w:vAnchor="text" w:hAnchor="margin" w:xAlign="right" w:y="1"/>
      <w:rPr>
        <w:i/>
        <w:iCs/>
        <w:color w:val="7F7F7F"/>
        <w:sz w:val="16"/>
        <w:szCs w:val="16"/>
      </w:rPr>
    </w:pPr>
    <w:r>
      <w:rPr>
        <w:i/>
        <w:iCs/>
        <w:noProof/>
        <w:color w:val="7F7F7F"/>
        <w:sz w:val="16"/>
        <w:szCs w:val="16"/>
      </w:rPr>
      <mc:AlternateContent>
        <mc:Choice Requires="wps">
          <w:drawing>
            <wp:anchor distT="0" distB="0" distL="0" distR="0" simplePos="0" relativeHeight="251658242" behindDoc="0" locked="0" layoutInCell="1" allowOverlap="1" wp14:anchorId="336FB91E" wp14:editId="2E8184DC">
              <wp:simplePos x="6848475" y="10134600"/>
              <wp:positionH relativeFrom="page">
                <wp:align>center</wp:align>
              </wp:positionH>
              <wp:positionV relativeFrom="page">
                <wp:align>bottom</wp:align>
              </wp:positionV>
              <wp:extent cx="637540" cy="376555"/>
              <wp:effectExtent l="0" t="0" r="10160" b="0"/>
              <wp:wrapNone/>
              <wp:docPr id="622184922" name="Text Box 3"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7540" cy="376555"/>
                      </a:xfrm>
                      <a:prstGeom prst="rect">
                        <a:avLst/>
                      </a:prstGeom>
                      <a:noFill/>
                      <a:ln>
                        <a:noFill/>
                      </a:ln>
                    </wps:spPr>
                    <wps:txbx>
                      <w:txbxContent>
                        <w:p w14:paraId="57132C22" w14:textId="1590F2C4"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6FB91E" id="_x0000_t202" coordsize="21600,21600" o:spt="202" path="m,l,21600r21600,l21600,xe">
              <v:stroke joinstyle="miter"/>
              <v:path gradientshapeok="t" o:connecttype="rect"/>
            </v:shapetype>
            <v:shape id="Text Box 3" o:spid="_x0000_s1027" type="#_x0000_t202" alt="Unofficial" style="position:absolute;margin-left:0;margin-top:0;width:50.2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" filled="f" stroked="f">
              <v:textbox style="mso-fit-shape-to-text:t" inset="0,0,0,15pt">
                <w:txbxContent>
                  <w:p w14:paraId="57132C22" w14:textId="1590F2C4"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v:textbox>
              <w10:wrap anchorx="page" anchory="page"/>
            </v:shape>
          </w:pict>
        </mc:Fallback>
      </mc:AlternateContent>
    </w:r>
    <w:r w:rsidR="007F44DB" w:rsidRPr="007F44DB">
      <w:rPr>
        <w:i/>
        <w:iCs/>
        <w:color w:val="7F7F7F"/>
        <w:sz w:val="16"/>
        <w:szCs w:val="16"/>
      </w:rPr>
      <w:fldChar w:fldCharType="begin"/>
    </w:r>
    <w:r w:rsidR="007F44DB" w:rsidRPr="007F44DB">
      <w:rPr>
        <w:i/>
        <w:iCs/>
        <w:color w:val="7F7F7F"/>
        <w:sz w:val="16"/>
        <w:szCs w:val="16"/>
      </w:rPr>
      <w:instrText xml:space="preserve"> PAGE </w:instrText>
    </w:r>
    <w:r w:rsidR="007F44DB" w:rsidRPr="007F44DB">
      <w:rPr>
        <w:i/>
        <w:iCs/>
        <w:color w:val="7F7F7F"/>
        <w:sz w:val="16"/>
        <w:szCs w:val="16"/>
      </w:rPr>
      <w:fldChar w:fldCharType="separate"/>
    </w:r>
    <w:r w:rsidR="007F44DB" w:rsidRPr="007F44DB">
      <w:rPr>
        <w:i/>
        <w:iCs/>
        <w:color w:val="7F7F7F"/>
        <w:sz w:val="16"/>
        <w:szCs w:val="16"/>
      </w:rPr>
      <w:t>1</w:t>
    </w:r>
    <w:r w:rsidR="007F44DB" w:rsidRPr="007F44DB">
      <w:rPr>
        <w:i/>
        <w:iCs/>
        <w:color w:val="7F7F7F"/>
        <w:sz w:val="16"/>
        <w:szCs w:val="16"/>
      </w:rPr>
      <w:fldChar w:fldCharType="end"/>
    </w:r>
  </w:p>
  <w:p w14:paraId="75EA3169" w14:textId="0DC83473" w:rsidR="007F44DB" w:rsidRPr="007F44DB" w:rsidRDefault="7325C575" w:rsidP="7325C575">
    <w:pPr>
      <w:widowControl w:val="0"/>
      <w:autoSpaceDE w:val="0"/>
      <w:autoSpaceDN w:val="0"/>
      <w:adjustRightInd w:val="0"/>
      <w:spacing w:after="0" w:line="158" w:lineRule="exact"/>
      <w:ind w:right="360"/>
      <w:rPr>
        <w:i/>
        <w:iCs/>
        <w:color w:val="7F7F7F"/>
        <w:sz w:val="16"/>
        <w:szCs w:val="16"/>
      </w:rPr>
    </w:pPr>
    <w:r w:rsidRPr="7325C575">
      <w:rPr>
        <w:i/>
        <w:iCs/>
        <w:color w:val="7F7F7F" w:themeColor="text1" w:themeTint="80"/>
        <w:sz w:val="16"/>
        <w:szCs w:val="16"/>
      </w:rPr>
      <w:t xml:space="preserve">Proceedings of the 12th Australian Stream Management Conference, 6-9 </w:t>
    </w:r>
    <w:proofErr w:type="gramStart"/>
    <w:r w:rsidRPr="7325C575">
      <w:rPr>
        <w:i/>
        <w:iCs/>
        <w:color w:val="7F7F7F" w:themeColor="text1" w:themeTint="80"/>
        <w:sz w:val="16"/>
        <w:szCs w:val="16"/>
      </w:rPr>
      <w:t>Sep,</w:t>
    </w:r>
    <w:proofErr w:type="gramEnd"/>
    <w:r w:rsidRPr="7325C575">
      <w:rPr>
        <w:i/>
        <w:iCs/>
        <w:color w:val="7F7F7F" w:themeColor="text1" w:themeTint="80"/>
        <w:sz w:val="16"/>
        <w:szCs w:val="16"/>
      </w:rPr>
      <w:t xml:space="preserve"> 2026. Kingscliff, NSW.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F28F" w14:textId="356CCDEE" w:rsidR="00001EED" w:rsidRDefault="00663DE3" w:rsidP="00001EED">
    <w:pPr>
      <w:widowControl w:val="0"/>
      <w:tabs>
        <w:tab w:val="left" w:pos="9240"/>
      </w:tabs>
      <w:autoSpaceDE w:val="0"/>
      <w:autoSpaceDN w:val="0"/>
      <w:adjustRightInd w:val="0"/>
      <w:spacing w:before="33" w:after="0" w:line="225" w:lineRule="exact"/>
      <w:rPr>
        <w:i/>
        <w:iCs/>
        <w:color w:val="7F7F7F"/>
        <w:position w:val="2"/>
        <w:sz w:val="16"/>
        <w:szCs w:val="16"/>
      </w:rPr>
    </w:pPr>
    <w:r>
      <w:rPr>
        <w:i/>
        <w:iCs/>
        <w:noProof/>
        <w:color w:val="7F7F7F"/>
        <w:position w:val="2"/>
        <w:sz w:val="16"/>
        <w:szCs w:val="16"/>
      </w:rPr>
      <mc:AlternateContent>
        <mc:Choice Requires="wps">
          <w:drawing>
            <wp:anchor distT="0" distB="0" distL="0" distR="0" simplePos="0" relativeHeight="251658240" behindDoc="0" locked="0" layoutInCell="1" allowOverlap="1" wp14:anchorId="2A24F8F5" wp14:editId="51551C10">
              <wp:simplePos x="635" y="635"/>
              <wp:positionH relativeFrom="page">
                <wp:align>center</wp:align>
              </wp:positionH>
              <wp:positionV relativeFrom="page">
                <wp:align>bottom</wp:align>
              </wp:positionV>
              <wp:extent cx="637540" cy="376555"/>
              <wp:effectExtent l="0" t="0" r="10160" b="0"/>
              <wp:wrapNone/>
              <wp:docPr id="1005367669" name="Text Box 1"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7540" cy="376555"/>
                      </a:xfrm>
                      <a:prstGeom prst="rect">
                        <a:avLst/>
                      </a:prstGeom>
                      <a:noFill/>
                      <a:ln>
                        <a:noFill/>
                      </a:ln>
                    </wps:spPr>
                    <wps:txbx>
                      <w:txbxContent>
                        <w:p w14:paraId="31F72A58" w14:textId="72204A28"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24F8F5" id="_x0000_t202" coordsize="21600,21600" o:spt="202" path="m,l,21600r21600,l21600,xe">
              <v:stroke joinstyle="miter"/>
              <v:path gradientshapeok="t" o:connecttype="rect"/>
            </v:shapetype>
            <v:shape id="Text Box 1" o:spid="_x0000_s1028" type="#_x0000_t202" alt="Unofficial" style="position:absolute;margin-left:0;margin-top:0;width:50.2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" filled="f" stroked="f">
              <v:textbox style="mso-fit-shape-to-text:t" inset="0,0,0,15pt">
                <w:txbxContent>
                  <w:p w14:paraId="31F72A58" w14:textId="72204A28"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v:textbox>
              <w10:wrap anchorx="page" anchory="page"/>
            </v:shape>
          </w:pict>
        </mc:Fallback>
      </mc:AlternateContent>
    </w:r>
  </w:p>
  <w:p w14:paraId="205A0E4A" w14:textId="77777777" w:rsidR="00001EED" w:rsidRDefault="00001EED" w:rsidP="00001EED">
    <w:pPr>
      <w:widowControl w:val="0"/>
      <w:tabs>
        <w:tab w:val="left" w:pos="9240"/>
      </w:tabs>
      <w:autoSpaceDE w:val="0"/>
      <w:autoSpaceDN w:val="0"/>
      <w:adjustRightInd w:val="0"/>
      <w:spacing w:before="33" w:after="0" w:line="225" w:lineRule="exact"/>
      <w:rPr>
        <w:color w:val="000000"/>
        <w:sz w:val="20"/>
        <w:szCs w:val="20"/>
      </w:rPr>
    </w:pPr>
    <w:r>
      <w:rPr>
        <w:i/>
        <w:iCs/>
        <w:color w:val="7F7F7F"/>
        <w:position w:val="2"/>
        <w:sz w:val="16"/>
        <w:szCs w:val="16"/>
      </w:rPr>
      <w:t>Authors Names. (2014). Paper title, in Editors Names, Proceedings of the 7th Australian Stream</w:t>
    </w:r>
    <w:r>
      <w:rPr>
        <w:i/>
        <w:iCs/>
        <w:color w:val="7F7F7F"/>
        <w:position w:val="2"/>
        <w:sz w:val="16"/>
        <w:szCs w:val="16"/>
      </w:rPr>
      <w:tab/>
    </w:r>
    <w:r>
      <w:rPr>
        <w:rStyle w:val="PageNumber"/>
      </w:rPr>
      <w:fldChar w:fldCharType="begin"/>
    </w:r>
    <w:r>
      <w:rPr>
        <w:rStyle w:val="PageNumber"/>
      </w:rPr>
      <w:instrText xml:space="preserve"> PAGE </w:instrText>
    </w:r>
    <w:r>
      <w:rPr>
        <w:rStyle w:val="PageNumber"/>
      </w:rPr>
      <w:fldChar w:fldCharType="separate"/>
    </w:r>
    <w:r w:rsidR="002A0FDD">
      <w:rPr>
        <w:rStyle w:val="PageNumber"/>
        <w:noProof/>
      </w:rPr>
      <w:t>1</w:t>
    </w:r>
    <w:r>
      <w:rPr>
        <w:rStyle w:val="PageNumber"/>
      </w:rPr>
      <w:fldChar w:fldCharType="end"/>
    </w:r>
  </w:p>
  <w:p w14:paraId="0AA402A8" w14:textId="77777777" w:rsidR="00001EED" w:rsidRDefault="00001EED" w:rsidP="00001EED">
    <w:pPr>
      <w:widowControl w:val="0"/>
      <w:autoSpaceDE w:val="0"/>
      <w:autoSpaceDN w:val="0"/>
      <w:adjustRightInd w:val="0"/>
      <w:spacing w:after="0" w:line="158" w:lineRule="exact"/>
      <w:rPr>
        <w:color w:val="000000"/>
        <w:sz w:val="16"/>
        <w:szCs w:val="16"/>
      </w:rPr>
    </w:pPr>
    <w:r>
      <w:rPr>
        <w:i/>
        <w:iCs/>
        <w:color w:val="7F7F7F"/>
        <w:sz w:val="16"/>
        <w:szCs w:val="16"/>
      </w:rPr>
      <w:t>Management</w:t>
    </w:r>
    <w:r>
      <w:rPr>
        <w:i/>
        <w:iCs/>
        <w:color w:val="7F7F7F"/>
        <w:spacing w:val="10"/>
        <w:sz w:val="16"/>
        <w:szCs w:val="16"/>
      </w:rPr>
      <w:t xml:space="preserve"> </w:t>
    </w:r>
    <w:r>
      <w:rPr>
        <w:i/>
        <w:iCs/>
        <w:color w:val="7F7F7F"/>
        <w:sz w:val="16"/>
        <w:szCs w:val="16"/>
      </w:rPr>
      <w:t xml:space="preserve">Conference. Townsville, Queensland, </w:t>
    </w:r>
    <w:proofErr w:type="gramStart"/>
    <w:r>
      <w:rPr>
        <w:i/>
        <w:iCs/>
        <w:color w:val="7F7F7F"/>
        <w:sz w:val="16"/>
        <w:szCs w:val="16"/>
      </w:rPr>
      <w:t>Pages  XXX</w:t>
    </w:r>
    <w:proofErr w:type="gramEnd"/>
    <w:r>
      <w:rPr>
        <w:i/>
        <w:iCs/>
        <w:color w:val="7F7F7F"/>
        <w:sz w:val="16"/>
        <w:szCs w:val="16"/>
      </w:rPr>
      <w:t xml:space="preserve"> - XXX.</w:t>
    </w:r>
  </w:p>
  <w:p w14:paraId="6DFB9E20" w14:textId="77777777" w:rsidR="00001EED" w:rsidRDefault="00001EED" w:rsidP="00001EED">
    <w:pPr>
      <w:pStyle w:val="Footer"/>
    </w:pPr>
  </w:p>
  <w:p w14:paraId="70DF9E56" w14:textId="77777777" w:rsidR="00001EED" w:rsidRDefault="00001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7734B" w14:textId="77777777" w:rsidR="00727229" w:rsidRDefault="00727229">
      <w:r>
        <w:separator/>
      </w:r>
    </w:p>
  </w:footnote>
  <w:footnote w:type="continuationSeparator" w:id="0">
    <w:p w14:paraId="3BC6AEF9" w14:textId="77777777" w:rsidR="00727229" w:rsidRDefault="00727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5477" w14:textId="4845F31C" w:rsidR="00242D9B" w:rsidRPr="00242D9B" w:rsidRDefault="7325C575" w:rsidP="7325C575">
    <w:pPr>
      <w:pStyle w:val="Header"/>
      <w:rPr>
        <w:b/>
        <w:bCs/>
        <w:i/>
        <w:iCs/>
      </w:rPr>
    </w:pPr>
    <w:r w:rsidRPr="7325C575">
      <w:rPr>
        <w:b/>
        <w:bCs/>
        <w:i/>
        <w:iCs/>
      </w:rPr>
      <w:t>12ASM Full Paper</w:t>
    </w:r>
  </w:p>
  <w:p w14:paraId="1237BA72" w14:textId="4CF974F9" w:rsidR="001069E0" w:rsidRPr="00197AC9" w:rsidRDefault="00DC7D6D">
    <w:pPr>
      <w:pStyle w:val="Header"/>
      <w:rPr>
        <w:i/>
      </w:rPr>
    </w:pPr>
    <w:r>
      <w:rPr>
        <w:i/>
      </w:rPr>
      <w:t>Peters</w:t>
    </w:r>
    <w:r w:rsidR="00F577D9">
      <w:rPr>
        <w:i/>
      </w:rPr>
      <w:t xml:space="preserve"> – </w:t>
    </w:r>
    <w:r w:rsidRPr="00DC7D6D">
      <w:rPr>
        <w:i/>
      </w:rPr>
      <w:t>Rivers without fences: testing the promise and limits of virtual fencing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F0F3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460F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6022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02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C000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B626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F219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8478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0A91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88E1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418E4"/>
    <w:multiLevelType w:val="hybridMultilevel"/>
    <w:tmpl w:val="51BE40A4"/>
    <w:lvl w:ilvl="0" w:tplc="0C090001">
      <w:start w:val="1"/>
      <w:numFmt w:val="bullet"/>
      <w:lvlText w:val=""/>
      <w:lvlJc w:val="left"/>
      <w:pPr>
        <w:tabs>
          <w:tab w:val="num" w:pos="834"/>
        </w:tabs>
        <w:ind w:left="834" w:hanging="360"/>
      </w:pPr>
      <w:rPr>
        <w:rFonts w:ascii="Symbol" w:hAnsi="Symbol" w:hint="default"/>
      </w:rPr>
    </w:lvl>
    <w:lvl w:ilvl="1" w:tplc="0C090003" w:tentative="1">
      <w:start w:val="1"/>
      <w:numFmt w:val="bullet"/>
      <w:lvlText w:val="o"/>
      <w:lvlJc w:val="left"/>
      <w:pPr>
        <w:tabs>
          <w:tab w:val="num" w:pos="1554"/>
        </w:tabs>
        <w:ind w:left="1554" w:hanging="360"/>
      </w:pPr>
      <w:rPr>
        <w:rFonts w:ascii="Courier New" w:hAnsi="Courier New" w:cs="Courier New" w:hint="default"/>
      </w:rPr>
    </w:lvl>
    <w:lvl w:ilvl="2" w:tplc="0C090005" w:tentative="1">
      <w:start w:val="1"/>
      <w:numFmt w:val="bullet"/>
      <w:lvlText w:val=""/>
      <w:lvlJc w:val="left"/>
      <w:pPr>
        <w:tabs>
          <w:tab w:val="num" w:pos="2274"/>
        </w:tabs>
        <w:ind w:left="2274" w:hanging="360"/>
      </w:pPr>
      <w:rPr>
        <w:rFonts w:ascii="Wingdings" w:hAnsi="Wingdings" w:hint="default"/>
      </w:rPr>
    </w:lvl>
    <w:lvl w:ilvl="3" w:tplc="0C090001" w:tentative="1">
      <w:start w:val="1"/>
      <w:numFmt w:val="bullet"/>
      <w:lvlText w:val=""/>
      <w:lvlJc w:val="left"/>
      <w:pPr>
        <w:tabs>
          <w:tab w:val="num" w:pos="2994"/>
        </w:tabs>
        <w:ind w:left="2994" w:hanging="360"/>
      </w:pPr>
      <w:rPr>
        <w:rFonts w:ascii="Symbol" w:hAnsi="Symbol" w:hint="default"/>
      </w:rPr>
    </w:lvl>
    <w:lvl w:ilvl="4" w:tplc="0C090003" w:tentative="1">
      <w:start w:val="1"/>
      <w:numFmt w:val="bullet"/>
      <w:lvlText w:val="o"/>
      <w:lvlJc w:val="left"/>
      <w:pPr>
        <w:tabs>
          <w:tab w:val="num" w:pos="3714"/>
        </w:tabs>
        <w:ind w:left="3714" w:hanging="360"/>
      </w:pPr>
      <w:rPr>
        <w:rFonts w:ascii="Courier New" w:hAnsi="Courier New" w:cs="Courier New" w:hint="default"/>
      </w:rPr>
    </w:lvl>
    <w:lvl w:ilvl="5" w:tplc="0C090005" w:tentative="1">
      <w:start w:val="1"/>
      <w:numFmt w:val="bullet"/>
      <w:lvlText w:val=""/>
      <w:lvlJc w:val="left"/>
      <w:pPr>
        <w:tabs>
          <w:tab w:val="num" w:pos="4434"/>
        </w:tabs>
        <w:ind w:left="4434" w:hanging="360"/>
      </w:pPr>
      <w:rPr>
        <w:rFonts w:ascii="Wingdings" w:hAnsi="Wingdings" w:hint="default"/>
      </w:rPr>
    </w:lvl>
    <w:lvl w:ilvl="6" w:tplc="0C090001" w:tentative="1">
      <w:start w:val="1"/>
      <w:numFmt w:val="bullet"/>
      <w:lvlText w:val=""/>
      <w:lvlJc w:val="left"/>
      <w:pPr>
        <w:tabs>
          <w:tab w:val="num" w:pos="5154"/>
        </w:tabs>
        <w:ind w:left="5154" w:hanging="360"/>
      </w:pPr>
      <w:rPr>
        <w:rFonts w:ascii="Symbol" w:hAnsi="Symbol" w:hint="default"/>
      </w:rPr>
    </w:lvl>
    <w:lvl w:ilvl="7" w:tplc="0C090003" w:tentative="1">
      <w:start w:val="1"/>
      <w:numFmt w:val="bullet"/>
      <w:lvlText w:val="o"/>
      <w:lvlJc w:val="left"/>
      <w:pPr>
        <w:tabs>
          <w:tab w:val="num" w:pos="5874"/>
        </w:tabs>
        <w:ind w:left="5874" w:hanging="360"/>
      </w:pPr>
      <w:rPr>
        <w:rFonts w:ascii="Courier New" w:hAnsi="Courier New" w:cs="Courier New" w:hint="default"/>
      </w:rPr>
    </w:lvl>
    <w:lvl w:ilvl="8" w:tplc="0C090005" w:tentative="1">
      <w:start w:val="1"/>
      <w:numFmt w:val="bullet"/>
      <w:lvlText w:val=""/>
      <w:lvlJc w:val="left"/>
      <w:pPr>
        <w:tabs>
          <w:tab w:val="num" w:pos="6594"/>
        </w:tabs>
        <w:ind w:left="6594" w:hanging="360"/>
      </w:pPr>
      <w:rPr>
        <w:rFonts w:ascii="Wingdings" w:hAnsi="Wingdings" w:hint="default"/>
      </w:rPr>
    </w:lvl>
  </w:abstractNum>
  <w:abstractNum w:abstractNumId="11" w15:restartNumberingAfterBreak="0">
    <w:nsid w:val="03021ADD"/>
    <w:multiLevelType w:val="hybridMultilevel"/>
    <w:tmpl w:val="748454B2"/>
    <w:lvl w:ilvl="0" w:tplc="0C090001">
      <w:start w:val="1"/>
      <w:numFmt w:val="bullet"/>
      <w:lvlText w:val=""/>
      <w:lvlJc w:val="left"/>
      <w:pPr>
        <w:tabs>
          <w:tab w:val="num" w:pos="1308"/>
        </w:tabs>
        <w:ind w:left="1308" w:hanging="360"/>
      </w:pPr>
      <w:rPr>
        <w:rFonts w:ascii="Symbol" w:hAnsi="Symbol" w:hint="default"/>
      </w:rPr>
    </w:lvl>
    <w:lvl w:ilvl="1" w:tplc="0C090003" w:tentative="1">
      <w:start w:val="1"/>
      <w:numFmt w:val="bullet"/>
      <w:lvlText w:val="o"/>
      <w:lvlJc w:val="left"/>
      <w:pPr>
        <w:tabs>
          <w:tab w:val="num" w:pos="1914"/>
        </w:tabs>
        <w:ind w:left="1914" w:hanging="360"/>
      </w:pPr>
      <w:rPr>
        <w:rFonts w:ascii="Courier New" w:hAnsi="Courier New" w:cs="Courier New" w:hint="default"/>
      </w:rPr>
    </w:lvl>
    <w:lvl w:ilvl="2" w:tplc="0C090005" w:tentative="1">
      <w:start w:val="1"/>
      <w:numFmt w:val="bullet"/>
      <w:lvlText w:val=""/>
      <w:lvlJc w:val="left"/>
      <w:pPr>
        <w:tabs>
          <w:tab w:val="num" w:pos="2634"/>
        </w:tabs>
        <w:ind w:left="2634" w:hanging="360"/>
      </w:pPr>
      <w:rPr>
        <w:rFonts w:ascii="Wingdings" w:hAnsi="Wingdings" w:hint="default"/>
      </w:rPr>
    </w:lvl>
    <w:lvl w:ilvl="3" w:tplc="0C090001" w:tentative="1">
      <w:start w:val="1"/>
      <w:numFmt w:val="bullet"/>
      <w:lvlText w:val=""/>
      <w:lvlJc w:val="left"/>
      <w:pPr>
        <w:tabs>
          <w:tab w:val="num" w:pos="3354"/>
        </w:tabs>
        <w:ind w:left="3354" w:hanging="360"/>
      </w:pPr>
      <w:rPr>
        <w:rFonts w:ascii="Symbol" w:hAnsi="Symbol" w:hint="default"/>
      </w:rPr>
    </w:lvl>
    <w:lvl w:ilvl="4" w:tplc="0C090003" w:tentative="1">
      <w:start w:val="1"/>
      <w:numFmt w:val="bullet"/>
      <w:lvlText w:val="o"/>
      <w:lvlJc w:val="left"/>
      <w:pPr>
        <w:tabs>
          <w:tab w:val="num" w:pos="4074"/>
        </w:tabs>
        <w:ind w:left="4074" w:hanging="360"/>
      </w:pPr>
      <w:rPr>
        <w:rFonts w:ascii="Courier New" w:hAnsi="Courier New" w:cs="Courier New" w:hint="default"/>
      </w:rPr>
    </w:lvl>
    <w:lvl w:ilvl="5" w:tplc="0C090005" w:tentative="1">
      <w:start w:val="1"/>
      <w:numFmt w:val="bullet"/>
      <w:lvlText w:val=""/>
      <w:lvlJc w:val="left"/>
      <w:pPr>
        <w:tabs>
          <w:tab w:val="num" w:pos="4794"/>
        </w:tabs>
        <w:ind w:left="4794" w:hanging="360"/>
      </w:pPr>
      <w:rPr>
        <w:rFonts w:ascii="Wingdings" w:hAnsi="Wingdings" w:hint="default"/>
      </w:rPr>
    </w:lvl>
    <w:lvl w:ilvl="6" w:tplc="0C090001" w:tentative="1">
      <w:start w:val="1"/>
      <w:numFmt w:val="bullet"/>
      <w:lvlText w:val=""/>
      <w:lvlJc w:val="left"/>
      <w:pPr>
        <w:tabs>
          <w:tab w:val="num" w:pos="5514"/>
        </w:tabs>
        <w:ind w:left="5514" w:hanging="360"/>
      </w:pPr>
      <w:rPr>
        <w:rFonts w:ascii="Symbol" w:hAnsi="Symbol" w:hint="default"/>
      </w:rPr>
    </w:lvl>
    <w:lvl w:ilvl="7" w:tplc="0C090003" w:tentative="1">
      <w:start w:val="1"/>
      <w:numFmt w:val="bullet"/>
      <w:lvlText w:val="o"/>
      <w:lvlJc w:val="left"/>
      <w:pPr>
        <w:tabs>
          <w:tab w:val="num" w:pos="6234"/>
        </w:tabs>
        <w:ind w:left="6234" w:hanging="360"/>
      </w:pPr>
      <w:rPr>
        <w:rFonts w:ascii="Courier New" w:hAnsi="Courier New" w:cs="Courier New" w:hint="default"/>
      </w:rPr>
    </w:lvl>
    <w:lvl w:ilvl="8" w:tplc="0C090005" w:tentative="1">
      <w:start w:val="1"/>
      <w:numFmt w:val="bullet"/>
      <w:lvlText w:val=""/>
      <w:lvlJc w:val="left"/>
      <w:pPr>
        <w:tabs>
          <w:tab w:val="num" w:pos="6954"/>
        </w:tabs>
        <w:ind w:left="6954" w:hanging="360"/>
      </w:pPr>
      <w:rPr>
        <w:rFonts w:ascii="Wingdings" w:hAnsi="Wingdings" w:hint="default"/>
      </w:rPr>
    </w:lvl>
  </w:abstractNum>
  <w:abstractNum w:abstractNumId="12" w15:restartNumberingAfterBreak="0">
    <w:nsid w:val="0BE804D4"/>
    <w:multiLevelType w:val="hybridMultilevel"/>
    <w:tmpl w:val="CB0C3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6B6C65"/>
    <w:multiLevelType w:val="hybridMultilevel"/>
    <w:tmpl w:val="330CB594"/>
    <w:lvl w:ilvl="0" w:tplc="4A2603E2">
      <w:numFmt w:val="bullet"/>
      <w:lvlText w:val="•"/>
      <w:lvlJc w:val="left"/>
      <w:pPr>
        <w:ind w:left="1080" w:hanging="72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CC786B"/>
    <w:multiLevelType w:val="hybridMultilevel"/>
    <w:tmpl w:val="01EAC6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4A5DD9"/>
    <w:multiLevelType w:val="hybridMultilevel"/>
    <w:tmpl w:val="3586C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833A7C"/>
    <w:multiLevelType w:val="hybridMultilevel"/>
    <w:tmpl w:val="BAA4B3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5273A7F"/>
    <w:multiLevelType w:val="hybridMultilevel"/>
    <w:tmpl w:val="C76ADA46"/>
    <w:lvl w:ilvl="0" w:tplc="0C090001">
      <w:start w:val="1"/>
      <w:numFmt w:val="bullet"/>
      <w:lvlText w:val=""/>
      <w:lvlJc w:val="left"/>
      <w:pPr>
        <w:ind w:left="720" w:hanging="360"/>
      </w:pPr>
      <w:rPr>
        <w:rFonts w:ascii="Symbol" w:hAnsi="Symbol" w:hint="default"/>
      </w:rPr>
    </w:lvl>
    <w:lvl w:ilvl="1" w:tplc="2F625380">
      <w:numFmt w:val="bullet"/>
      <w:lvlText w:val="•"/>
      <w:lvlJc w:val="left"/>
      <w:pPr>
        <w:ind w:left="1800" w:hanging="72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7606F11"/>
    <w:multiLevelType w:val="hybridMultilevel"/>
    <w:tmpl w:val="47E0B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AED20C5"/>
    <w:multiLevelType w:val="hybridMultilevel"/>
    <w:tmpl w:val="B476C9D4"/>
    <w:lvl w:ilvl="0" w:tplc="56989C0A">
      <w:numFmt w:val="bullet"/>
      <w:lvlText w:val="•"/>
      <w:lvlJc w:val="left"/>
      <w:pPr>
        <w:ind w:left="1080" w:hanging="72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2827EBA"/>
    <w:multiLevelType w:val="hybridMultilevel"/>
    <w:tmpl w:val="3EAA7572"/>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6B94A41"/>
    <w:multiLevelType w:val="hybridMultilevel"/>
    <w:tmpl w:val="DA4298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80D31BD"/>
    <w:multiLevelType w:val="hybridMultilevel"/>
    <w:tmpl w:val="B09AA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C6B3DBC"/>
    <w:multiLevelType w:val="hybridMultilevel"/>
    <w:tmpl w:val="CB46D26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2EC4206"/>
    <w:multiLevelType w:val="hybridMultilevel"/>
    <w:tmpl w:val="0D1E7530"/>
    <w:lvl w:ilvl="0" w:tplc="65C6C842">
      <w:numFmt w:val="bullet"/>
      <w:lvlText w:val="•"/>
      <w:lvlJc w:val="left"/>
      <w:pPr>
        <w:ind w:left="1080" w:hanging="72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305BA1"/>
    <w:multiLevelType w:val="hybridMultilevel"/>
    <w:tmpl w:val="E9F26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64E1BA6"/>
    <w:multiLevelType w:val="hybridMultilevel"/>
    <w:tmpl w:val="85DCBA06"/>
    <w:lvl w:ilvl="0" w:tplc="0C090001">
      <w:start w:val="1"/>
      <w:numFmt w:val="bullet"/>
      <w:lvlText w:val=""/>
      <w:lvlJc w:val="left"/>
      <w:pPr>
        <w:ind w:left="720" w:hanging="360"/>
      </w:pPr>
      <w:rPr>
        <w:rFonts w:ascii="Symbol" w:hAnsi="Symbol" w:hint="default"/>
      </w:rPr>
    </w:lvl>
    <w:lvl w:ilvl="1" w:tplc="FD009232">
      <w:numFmt w:val="bullet"/>
      <w:lvlText w:val="•"/>
      <w:lvlJc w:val="left"/>
      <w:pPr>
        <w:ind w:left="1800" w:hanging="72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83B7D43"/>
    <w:multiLevelType w:val="hybridMultilevel"/>
    <w:tmpl w:val="FC7E0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8CE669C"/>
    <w:multiLevelType w:val="hybridMultilevel"/>
    <w:tmpl w:val="70B8C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FD804AA"/>
    <w:multiLevelType w:val="hybridMultilevel"/>
    <w:tmpl w:val="1E367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0F365DC"/>
    <w:multiLevelType w:val="hybridMultilevel"/>
    <w:tmpl w:val="DE645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2F1666B"/>
    <w:multiLevelType w:val="hybridMultilevel"/>
    <w:tmpl w:val="CD8AC930"/>
    <w:lvl w:ilvl="0" w:tplc="0C09000F">
      <w:start w:val="1"/>
      <w:numFmt w:val="decimal"/>
      <w:lvlText w:val="%1."/>
      <w:lvlJc w:val="left"/>
      <w:pPr>
        <w:tabs>
          <w:tab w:val="num" w:pos="834"/>
        </w:tabs>
        <w:ind w:left="834" w:hanging="360"/>
      </w:pPr>
    </w:lvl>
    <w:lvl w:ilvl="1" w:tplc="0C090019" w:tentative="1">
      <w:start w:val="1"/>
      <w:numFmt w:val="lowerLetter"/>
      <w:lvlText w:val="%2."/>
      <w:lvlJc w:val="left"/>
      <w:pPr>
        <w:tabs>
          <w:tab w:val="num" w:pos="1554"/>
        </w:tabs>
        <w:ind w:left="1554" w:hanging="360"/>
      </w:pPr>
    </w:lvl>
    <w:lvl w:ilvl="2" w:tplc="0C09001B" w:tentative="1">
      <w:start w:val="1"/>
      <w:numFmt w:val="lowerRoman"/>
      <w:lvlText w:val="%3."/>
      <w:lvlJc w:val="right"/>
      <w:pPr>
        <w:tabs>
          <w:tab w:val="num" w:pos="2274"/>
        </w:tabs>
        <w:ind w:left="2274" w:hanging="180"/>
      </w:pPr>
    </w:lvl>
    <w:lvl w:ilvl="3" w:tplc="0C09000F" w:tentative="1">
      <w:start w:val="1"/>
      <w:numFmt w:val="decimal"/>
      <w:lvlText w:val="%4."/>
      <w:lvlJc w:val="left"/>
      <w:pPr>
        <w:tabs>
          <w:tab w:val="num" w:pos="2994"/>
        </w:tabs>
        <w:ind w:left="2994" w:hanging="360"/>
      </w:pPr>
    </w:lvl>
    <w:lvl w:ilvl="4" w:tplc="0C090019" w:tentative="1">
      <w:start w:val="1"/>
      <w:numFmt w:val="lowerLetter"/>
      <w:lvlText w:val="%5."/>
      <w:lvlJc w:val="left"/>
      <w:pPr>
        <w:tabs>
          <w:tab w:val="num" w:pos="3714"/>
        </w:tabs>
        <w:ind w:left="3714" w:hanging="360"/>
      </w:pPr>
    </w:lvl>
    <w:lvl w:ilvl="5" w:tplc="0C09001B" w:tentative="1">
      <w:start w:val="1"/>
      <w:numFmt w:val="lowerRoman"/>
      <w:lvlText w:val="%6."/>
      <w:lvlJc w:val="right"/>
      <w:pPr>
        <w:tabs>
          <w:tab w:val="num" w:pos="4434"/>
        </w:tabs>
        <w:ind w:left="4434" w:hanging="180"/>
      </w:pPr>
    </w:lvl>
    <w:lvl w:ilvl="6" w:tplc="0C09000F" w:tentative="1">
      <w:start w:val="1"/>
      <w:numFmt w:val="decimal"/>
      <w:lvlText w:val="%7."/>
      <w:lvlJc w:val="left"/>
      <w:pPr>
        <w:tabs>
          <w:tab w:val="num" w:pos="5154"/>
        </w:tabs>
        <w:ind w:left="5154" w:hanging="360"/>
      </w:pPr>
    </w:lvl>
    <w:lvl w:ilvl="7" w:tplc="0C090019" w:tentative="1">
      <w:start w:val="1"/>
      <w:numFmt w:val="lowerLetter"/>
      <w:lvlText w:val="%8."/>
      <w:lvlJc w:val="left"/>
      <w:pPr>
        <w:tabs>
          <w:tab w:val="num" w:pos="5874"/>
        </w:tabs>
        <w:ind w:left="5874" w:hanging="360"/>
      </w:pPr>
    </w:lvl>
    <w:lvl w:ilvl="8" w:tplc="0C09001B" w:tentative="1">
      <w:start w:val="1"/>
      <w:numFmt w:val="lowerRoman"/>
      <w:lvlText w:val="%9."/>
      <w:lvlJc w:val="right"/>
      <w:pPr>
        <w:tabs>
          <w:tab w:val="num" w:pos="6594"/>
        </w:tabs>
        <w:ind w:left="6594" w:hanging="180"/>
      </w:pPr>
    </w:lvl>
  </w:abstractNum>
  <w:abstractNum w:abstractNumId="32" w15:restartNumberingAfterBreak="0">
    <w:nsid w:val="47D44FEB"/>
    <w:multiLevelType w:val="hybridMultilevel"/>
    <w:tmpl w:val="658AE4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913330E"/>
    <w:multiLevelType w:val="hybridMultilevel"/>
    <w:tmpl w:val="B5F4EF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B1300E"/>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F594BB8"/>
    <w:multiLevelType w:val="hybridMultilevel"/>
    <w:tmpl w:val="E8722328"/>
    <w:lvl w:ilvl="0" w:tplc="1CC87F60">
      <w:numFmt w:val="bullet"/>
      <w:lvlText w:val="•"/>
      <w:lvlJc w:val="left"/>
      <w:pPr>
        <w:ind w:left="1080" w:hanging="72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22354A9"/>
    <w:multiLevelType w:val="hybridMultilevel"/>
    <w:tmpl w:val="3BF694CE"/>
    <w:lvl w:ilvl="0" w:tplc="B05655C0">
      <w:numFmt w:val="bullet"/>
      <w:lvlText w:val="•"/>
      <w:lvlJc w:val="left"/>
      <w:pPr>
        <w:ind w:left="1080" w:hanging="72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862C7A"/>
    <w:multiLevelType w:val="hybridMultilevel"/>
    <w:tmpl w:val="FB56D76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89170F"/>
    <w:multiLevelType w:val="hybridMultilevel"/>
    <w:tmpl w:val="BD26E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CD3D9B"/>
    <w:multiLevelType w:val="hybridMultilevel"/>
    <w:tmpl w:val="687E0E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7BF54AD"/>
    <w:multiLevelType w:val="hybridMultilevel"/>
    <w:tmpl w:val="64CA02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AC8390B"/>
    <w:multiLevelType w:val="hybridMultilevel"/>
    <w:tmpl w:val="5A7E2D1C"/>
    <w:lvl w:ilvl="0" w:tplc="A86238C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E0F034E"/>
    <w:multiLevelType w:val="hybridMultilevel"/>
    <w:tmpl w:val="C994E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EB42BA5"/>
    <w:multiLevelType w:val="hybridMultilevel"/>
    <w:tmpl w:val="36E208BE"/>
    <w:lvl w:ilvl="0" w:tplc="661E0AD4">
      <w:start w:val="1"/>
      <w:numFmt w:val="bullet"/>
      <w:pStyle w:val="dotpointsinbox"/>
      <w:lvlText w:val=""/>
      <w:lvlJc w:val="left"/>
      <w:pPr>
        <w:tabs>
          <w:tab w:val="num" w:pos="834"/>
        </w:tabs>
        <w:ind w:left="834" w:hanging="360"/>
      </w:pPr>
      <w:rPr>
        <w:rFonts w:ascii="Symbol" w:hAnsi="Symbol" w:hint="default"/>
      </w:rPr>
    </w:lvl>
    <w:lvl w:ilvl="1" w:tplc="0C090003" w:tentative="1">
      <w:start w:val="1"/>
      <w:numFmt w:val="bullet"/>
      <w:lvlText w:val="o"/>
      <w:lvlJc w:val="left"/>
      <w:pPr>
        <w:tabs>
          <w:tab w:val="num" w:pos="1554"/>
        </w:tabs>
        <w:ind w:left="1554" w:hanging="360"/>
      </w:pPr>
      <w:rPr>
        <w:rFonts w:ascii="Courier New" w:hAnsi="Courier New" w:cs="Courier New" w:hint="default"/>
      </w:rPr>
    </w:lvl>
    <w:lvl w:ilvl="2" w:tplc="0C090005" w:tentative="1">
      <w:start w:val="1"/>
      <w:numFmt w:val="bullet"/>
      <w:lvlText w:val=""/>
      <w:lvlJc w:val="left"/>
      <w:pPr>
        <w:tabs>
          <w:tab w:val="num" w:pos="2274"/>
        </w:tabs>
        <w:ind w:left="2274" w:hanging="360"/>
      </w:pPr>
      <w:rPr>
        <w:rFonts w:ascii="Wingdings" w:hAnsi="Wingdings" w:hint="default"/>
      </w:rPr>
    </w:lvl>
    <w:lvl w:ilvl="3" w:tplc="0C090001" w:tentative="1">
      <w:start w:val="1"/>
      <w:numFmt w:val="bullet"/>
      <w:lvlText w:val=""/>
      <w:lvlJc w:val="left"/>
      <w:pPr>
        <w:tabs>
          <w:tab w:val="num" w:pos="2994"/>
        </w:tabs>
        <w:ind w:left="2994" w:hanging="360"/>
      </w:pPr>
      <w:rPr>
        <w:rFonts w:ascii="Symbol" w:hAnsi="Symbol" w:hint="default"/>
      </w:rPr>
    </w:lvl>
    <w:lvl w:ilvl="4" w:tplc="0C090003" w:tentative="1">
      <w:start w:val="1"/>
      <w:numFmt w:val="bullet"/>
      <w:lvlText w:val="o"/>
      <w:lvlJc w:val="left"/>
      <w:pPr>
        <w:tabs>
          <w:tab w:val="num" w:pos="3714"/>
        </w:tabs>
        <w:ind w:left="3714" w:hanging="360"/>
      </w:pPr>
      <w:rPr>
        <w:rFonts w:ascii="Courier New" w:hAnsi="Courier New" w:cs="Courier New" w:hint="default"/>
      </w:rPr>
    </w:lvl>
    <w:lvl w:ilvl="5" w:tplc="0C090005" w:tentative="1">
      <w:start w:val="1"/>
      <w:numFmt w:val="bullet"/>
      <w:lvlText w:val=""/>
      <w:lvlJc w:val="left"/>
      <w:pPr>
        <w:tabs>
          <w:tab w:val="num" w:pos="4434"/>
        </w:tabs>
        <w:ind w:left="4434" w:hanging="360"/>
      </w:pPr>
      <w:rPr>
        <w:rFonts w:ascii="Wingdings" w:hAnsi="Wingdings" w:hint="default"/>
      </w:rPr>
    </w:lvl>
    <w:lvl w:ilvl="6" w:tplc="0C090001" w:tentative="1">
      <w:start w:val="1"/>
      <w:numFmt w:val="bullet"/>
      <w:lvlText w:val=""/>
      <w:lvlJc w:val="left"/>
      <w:pPr>
        <w:tabs>
          <w:tab w:val="num" w:pos="5154"/>
        </w:tabs>
        <w:ind w:left="5154" w:hanging="360"/>
      </w:pPr>
      <w:rPr>
        <w:rFonts w:ascii="Symbol" w:hAnsi="Symbol" w:hint="default"/>
      </w:rPr>
    </w:lvl>
    <w:lvl w:ilvl="7" w:tplc="0C090003" w:tentative="1">
      <w:start w:val="1"/>
      <w:numFmt w:val="bullet"/>
      <w:lvlText w:val="o"/>
      <w:lvlJc w:val="left"/>
      <w:pPr>
        <w:tabs>
          <w:tab w:val="num" w:pos="5874"/>
        </w:tabs>
        <w:ind w:left="5874" w:hanging="360"/>
      </w:pPr>
      <w:rPr>
        <w:rFonts w:ascii="Courier New" w:hAnsi="Courier New" w:cs="Courier New" w:hint="default"/>
      </w:rPr>
    </w:lvl>
    <w:lvl w:ilvl="8" w:tplc="0C090005" w:tentative="1">
      <w:start w:val="1"/>
      <w:numFmt w:val="bullet"/>
      <w:lvlText w:val=""/>
      <w:lvlJc w:val="left"/>
      <w:pPr>
        <w:tabs>
          <w:tab w:val="num" w:pos="6594"/>
        </w:tabs>
        <w:ind w:left="6594" w:hanging="360"/>
      </w:pPr>
      <w:rPr>
        <w:rFonts w:ascii="Wingdings" w:hAnsi="Wingdings" w:hint="default"/>
      </w:rPr>
    </w:lvl>
  </w:abstractNum>
  <w:abstractNum w:abstractNumId="44" w15:restartNumberingAfterBreak="0">
    <w:nsid w:val="6FAD22AE"/>
    <w:multiLevelType w:val="hybridMultilevel"/>
    <w:tmpl w:val="2EC82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4D011DC"/>
    <w:multiLevelType w:val="hybridMultilevel"/>
    <w:tmpl w:val="03B8F49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6126670"/>
    <w:multiLevelType w:val="hybridMultilevel"/>
    <w:tmpl w:val="445CF1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83814307">
    <w:abstractNumId w:val="16"/>
  </w:num>
  <w:num w:numId="2" w16cid:durableId="466358574">
    <w:abstractNumId w:val="37"/>
  </w:num>
  <w:num w:numId="3" w16cid:durableId="1142040399">
    <w:abstractNumId w:val="31"/>
  </w:num>
  <w:num w:numId="4" w16cid:durableId="821316447">
    <w:abstractNumId w:val="9"/>
  </w:num>
  <w:num w:numId="5" w16cid:durableId="1018774187">
    <w:abstractNumId w:val="7"/>
  </w:num>
  <w:num w:numId="6" w16cid:durableId="1497915001">
    <w:abstractNumId w:val="6"/>
  </w:num>
  <w:num w:numId="7" w16cid:durableId="2147233388">
    <w:abstractNumId w:val="5"/>
  </w:num>
  <w:num w:numId="8" w16cid:durableId="511771705">
    <w:abstractNumId w:val="4"/>
  </w:num>
  <w:num w:numId="9" w16cid:durableId="740758792">
    <w:abstractNumId w:val="8"/>
  </w:num>
  <w:num w:numId="10" w16cid:durableId="1990013021">
    <w:abstractNumId w:val="3"/>
  </w:num>
  <w:num w:numId="11" w16cid:durableId="711274632">
    <w:abstractNumId w:val="2"/>
  </w:num>
  <w:num w:numId="12" w16cid:durableId="267274795">
    <w:abstractNumId w:val="1"/>
  </w:num>
  <w:num w:numId="13" w16cid:durableId="549074660">
    <w:abstractNumId w:val="0"/>
  </w:num>
  <w:num w:numId="14" w16cid:durableId="1956865050">
    <w:abstractNumId w:val="10"/>
  </w:num>
  <w:num w:numId="15" w16cid:durableId="126551705">
    <w:abstractNumId w:val="43"/>
  </w:num>
  <w:num w:numId="16" w16cid:durableId="1086414253">
    <w:abstractNumId w:val="11"/>
  </w:num>
  <w:num w:numId="17" w16cid:durableId="1869561476">
    <w:abstractNumId w:val="34"/>
  </w:num>
  <w:num w:numId="18" w16cid:durableId="674189298">
    <w:abstractNumId w:val="26"/>
  </w:num>
  <w:num w:numId="19" w16cid:durableId="2120177417">
    <w:abstractNumId w:val="24"/>
  </w:num>
  <w:num w:numId="20" w16cid:durableId="855728251">
    <w:abstractNumId w:val="18"/>
  </w:num>
  <w:num w:numId="21" w16cid:durableId="392848113">
    <w:abstractNumId w:val="35"/>
  </w:num>
  <w:num w:numId="22" w16cid:durableId="1859731222">
    <w:abstractNumId w:val="44"/>
  </w:num>
  <w:num w:numId="23" w16cid:durableId="180708379">
    <w:abstractNumId w:val="13"/>
  </w:num>
  <w:num w:numId="24" w16cid:durableId="1295985757">
    <w:abstractNumId w:val="17"/>
  </w:num>
  <w:num w:numId="25" w16cid:durableId="1170414310">
    <w:abstractNumId w:val="19"/>
  </w:num>
  <w:num w:numId="26" w16cid:durableId="1770156133">
    <w:abstractNumId w:val="15"/>
  </w:num>
  <w:num w:numId="27" w16cid:durableId="2119596295">
    <w:abstractNumId w:val="36"/>
  </w:num>
  <w:num w:numId="28" w16cid:durableId="468089206">
    <w:abstractNumId w:val="46"/>
  </w:num>
  <w:num w:numId="29" w16cid:durableId="293604778">
    <w:abstractNumId w:val="40"/>
  </w:num>
  <w:num w:numId="30" w16cid:durableId="779841138">
    <w:abstractNumId w:val="41"/>
  </w:num>
  <w:num w:numId="31" w16cid:durableId="1670981656">
    <w:abstractNumId w:val="32"/>
  </w:num>
  <w:num w:numId="32" w16cid:durableId="1678338973">
    <w:abstractNumId w:val="29"/>
  </w:num>
  <w:num w:numId="33" w16cid:durableId="1406221237">
    <w:abstractNumId w:val="30"/>
  </w:num>
  <w:num w:numId="34" w16cid:durableId="1647738853">
    <w:abstractNumId w:val="28"/>
  </w:num>
  <w:num w:numId="35" w16cid:durableId="1155343639">
    <w:abstractNumId w:val="21"/>
  </w:num>
  <w:num w:numId="36" w16cid:durableId="700132373">
    <w:abstractNumId w:val="38"/>
  </w:num>
  <w:num w:numId="37" w16cid:durableId="885721676">
    <w:abstractNumId w:val="22"/>
  </w:num>
  <w:num w:numId="38" w16cid:durableId="275409821">
    <w:abstractNumId w:val="27"/>
  </w:num>
  <w:num w:numId="39" w16cid:durableId="841510882">
    <w:abstractNumId w:val="42"/>
  </w:num>
  <w:num w:numId="40" w16cid:durableId="318309434">
    <w:abstractNumId w:val="23"/>
  </w:num>
  <w:num w:numId="41" w16cid:durableId="2099674614">
    <w:abstractNumId w:val="14"/>
  </w:num>
  <w:num w:numId="42" w16cid:durableId="852375346">
    <w:abstractNumId w:val="33"/>
  </w:num>
  <w:num w:numId="43" w16cid:durableId="1340352074">
    <w:abstractNumId w:val="12"/>
  </w:num>
  <w:num w:numId="44" w16cid:durableId="1259557172">
    <w:abstractNumId w:val="45"/>
  </w:num>
  <w:num w:numId="45" w16cid:durableId="1802527991">
    <w:abstractNumId w:val="25"/>
  </w:num>
  <w:num w:numId="46" w16cid:durableId="1510488243">
    <w:abstractNumId w:val="39"/>
  </w:num>
  <w:num w:numId="47" w16cid:durableId="1010701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8E"/>
    <w:rsid w:val="0000102E"/>
    <w:rsid w:val="00001EED"/>
    <w:rsid w:val="00004615"/>
    <w:rsid w:val="00014365"/>
    <w:rsid w:val="00027F1F"/>
    <w:rsid w:val="000307D2"/>
    <w:rsid w:val="00041C66"/>
    <w:rsid w:val="00051FD7"/>
    <w:rsid w:val="0008009A"/>
    <w:rsid w:val="00082DB7"/>
    <w:rsid w:val="00083848"/>
    <w:rsid w:val="00085298"/>
    <w:rsid w:val="00087E19"/>
    <w:rsid w:val="00093B84"/>
    <w:rsid w:val="000A3756"/>
    <w:rsid w:val="000B4CCB"/>
    <w:rsid w:val="000E5F39"/>
    <w:rsid w:val="000E63B6"/>
    <w:rsid w:val="001069E0"/>
    <w:rsid w:val="00136916"/>
    <w:rsid w:val="00141F33"/>
    <w:rsid w:val="00157E40"/>
    <w:rsid w:val="00173D2B"/>
    <w:rsid w:val="00175416"/>
    <w:rsid w:val="00197AC9"/>
    <w:rsid w:val="001A705D"/>
    <w:rsid w:val="001B52F3"/>
    <w:rsid w:val="001D2B5A"/>
    <w:rsid w:val="001D3CF4"/>
    <w:rsid w:val="001D5E07"/>
    <w:rsid w:val="001F2ED8"/>
    <w:rsid w:val="001F52F9"/>
    <w:rsid w:val="001F57F9"/>
    <w:rsid w:val="0020490B"/>
    <w:rsid w:val="0021364B"/>
    <w:rsid w:val="00225A8D"/>
    <w:rsid w:val="00230BA6"/>
    <w:rsid w:val="002412CD"/>
    <w:rsid w:val="00242D9B"/>
    <w:rsid w:val="00246E4D"/>
    <w:rsid w:val="00255472"/>
    <w:rsid w:val="00256C58"/>
    <w:rsid w:val="002571ED"/>
    <w:rsid w:val="00257312"/>
    <w:rsid w:val="00262BE8"/>
    <w:rsid w:val="00262CB5"/>
    <w:rsid w:val="00263C52"/>
    <w:rsid w:val="00264422"/>
    <w:rsid w:val="00296BD1"/>
    <w:rsid w:val="002A0FDD"/>
    <w:rsid w:val="002A32F6"/>
    <w:rsid w:val="002A547F"/>
    <w:rsid w:val="002A6005"/>
    <w:rsid w:val="002B3D43"/>
    <w:rsid w:val="002D0473"/>
    <w:rsid w:val="002D61C4"/>
    <w:rsid w:val="0030203A"/>
    <w:rsid w:val="00316195"/>
    <w:rsid w:val="00322366"/>
    <w:rsid w:val="00334F02"/>
    <w:rsid w:val="00342A9D"/>
    <w:rsid w:val="00343319"/>
    <w:rsid w:val="00343821"/>
    <w:rsid w:val="003520F6"/>
    <w:rsid w:val="00357664"/>
    <w:rsid w:val="00370F5D"/>
    <w:rsid w:val="00371102"/>
    <w:rsid w:val="00372C25"/>
    <w:rsid w:val="00374526"/>
    <w:rsid w:val="00376BE4"/>
    <w:rsid w:val="00382BFB"/>
    <w:rsid w:val="003876B9"/>
    <w:rsid w:val="003C7AE3"/>
    <w:rsid w:val="003F15D5"/>
    <w:rsid w:val="003F7E0A"/>
    <w:rsid w:val="004007DA"/>
    <w:rsid w:val="00401E5B"/>
    <w:rsid w:val="004204CA"/>
    <w:rsid w:val="004234F0"/>
    <w:rsid w:val="00435BBA"/>
    <w:rsid w:val="00435DAE"/>
    <w:rsid w:val="00443708"/>
    <w:rsid w:val="004521F8"/>
    <w:rsid w:val="00460FAC"/>
    <w:rsid w:val="004638B9"/>
    <w:rsid w:val="00463DCF"/>
    <w:rsid w:val="00463DD8"/>
    <w:rsid w:val="00482AC2"/>
    <w:rsid w:val="004831E8"/>
    <w:rsid w:val="00483D1A"/>
    <w:rsid w:val="004A7EDA"/>
    <w:rsid w:val="004C5428"/>
    <w:rsid w:val="004C5AAA"/>
    <w:rsid w:val="004D1D55"/>
    <w:rsid w:val="004D3760"/>
    <w:rsid w:val="004D5E6C"/>
    <w:rsid w:val="004F1885"/>
    <w:rsid w:val="004F4114"/>
    <w:rsid w:val="00510359"/>
    <w:rsid w:val="0051455A"/>
    <w:rsid w:val="005222ED"/>
    <w:rsid w:val="00540F36"/>
    <w:rsid w:val="00550678"/>
    <w:rsid w:val="0055465E"/>
    <w:rsid w:val="00561707"/>
    <w:rsid w:val="00567D92"/>
    <w:rsid w:val="0059143F"/>
    <w:rsid w:val="00592DAA"/>
    <w:rsid w:val="005B23F8"/>
    <w:rsid w:val="005C31BE"/>
    <w:rsid w:val="005D0B9A"/>
    <w:rsid w:val="005D568B"/>
    <w:rsid w:val="005F0B55"/>
    <w:rsid w:val="005F2B50"/>
    <w:rsid w:val="00603F87"/>
    <w:rsid w:val="00613F54"/>
    <w:rsid w:val="00621FD9"/>
    <w:rsid w:val="00622762"/>
    <w:rsid w:val="00652808"/>
    <w:rsid w:val="00663D2D"/>
    <w:rsid w:val="00663DE3"/>
    <w:rsid w:val="00666C3F"/>
    <w:rsid w:val="006728CB"/>
    <w:rsid w:val="00677C65"/>
    <w:rsid w:val="0068572D"/>
    <w:rsid w:val="006868D6"/>
    <w:rsid w:val="00694E81"/>
    <w:rsid w:val="006B0E66"/>
    <w:rsid w:val="006C547B"/>
    <w:rsid w:val="006D31BA"/>
    <w:rsid w:val="006D54B1"/>
    <w:rsid w:val="00714352"/>
    <w:rsid w:val="007177FA"/>
    <w:rsid w:val="007265F8"/>
    <w:rsid w:val="00727229"/>
    <w:rsid w:val="00727BCE"/>
    <w:rsid w:val="007337B7"/>
    <w:rsid w:val="007375B9"/>
    <w:rsid w:val="00743BB4"/>
    <w:rsid w:val="00745386"/>
    <w:rsid w:val="0076003C"/>
    <w:rsid w:val="0077215C"/>
    <w:rsid w:val="00775E9D"/>
    <w:rsid w:val="00775F7D"/>
    <w:rsid w:val="007A1930"/>
    <w:rsid w:val="007B1A20"/>
    <w:rsid w:val="007B1C0D"/>
    <w:rsid w:val="007B4269"/>
    <w:rsid w:val="007C1859"/>
    <w:rsid w:val="007C4A3F"/>
    <w:rsid w:val="007D6E70"/>
    <w:rsid w:val="007E38A0"/>
    <w:rsid w:val="007E46CD"/>
    <w:rsid w:val="007E7B32"/>
    <w:rsid w:val="007F0BAA"/>
    <w:rsid w:val="007F44DB"/>
    <w:rsid w:val="007F67BE"/>
    <w:rsid w:val="007F75A3"/>
    <w:rsid w:val="00800D3C"/>
    <w:rsid w:val="00804DF2"/>
    <w:rsid w:val="0080700F"/>
    <w:rsid w:val="00822CEF"/>
    <w:rsid w:val="00830C1A"/>
    <w:rsid w:val="00843FDF"/>
    <w:rsid w:val="00846D11"/>
    <w:rsid w:val="0085482B"/>
    <w:rsid w:val="00862361"/>
    <w:rsid w:val="00877BA6"/>
    <w:rsid w:val="00884C9D"/>
    <w:rsid w:val="008912F6"/>
    <w:rsid w:val="00894621"/>
    <w:rsid w:val="008A3676"/>
    <w:rsid w:val="008A6387"/>
    <w:rsid w:val="008B7363"/>
    <w:rsid w:val="008C2DA4"/>
    <w:rsid w:val="008C42C2"/>
    <w:rsid w:val="008D280C"/>
    <w:rsid w:val="008D3864"/>
    <w:rsid w:val="008E184A"/>
    <w:rsid w:val="008F22E2"/>
    <w:rsid w:val="008F6AA6"/>
    <w:rsid w:val="00913C80"/>
    <w:rsid w:val="00917266"/>
    <w:rsid w:val="009248BE"/>
    <w:rsid w:val="0094728C"/>
    <w:rsid w:val="00956725"/>
    <w:rsid w:val="009653BB"/>
    <w:rsid w:val="00975224"/>
    <w:rsid w:val="009802B1"/>
    <w:rsid w:val="00981E1E"/>
    <w:rsid w:val="00986DEB"/>
    <w:rsid w:val="00994356"/>
    <w:rsid w:val="00995203"/>
    <w:rsid w:val="009A2416"/>
    <w:rsid w:val="009B34F4"/>
    <w:rsid w:val="009B40F1"/>
    <w:rsid w:val="009C747B"/>
    <w:rsid w:val="009D7F18"/>
    <w:rsid w:val="00A051C5"/>
    <w:rsid w:val="00A07F7F"/>
    <w:rsid w:val="00A14BC2"/>
    <w:rsid w:val="00A15C68"/>
    <w:rsid w:val="00A217B3"/>
    <w:rsid w:val="00A24F05"/>
    <w:rsid w:val="00A30860"/>
    <w:rsid w:val="00A31DBA"/>
    <w:rsid w:val="00A31F89"/>
    <w:rsid w:val="00A433DE"/>
    <w:rsid w:val="00A44771"/>
    <w:rsid w:val="00A56170"/>
    <w:rsid w:val="00A7746F"/>
    <w:rsid w:val="00A92173"/>
    <w:rsid w:val="00AD06B5"/>
    <w:rsid w:val="00AD1064"/>
    <w:rsid w:val="00AE0E30"/>
    <w:rsid w:val="00AE38C5"/>
    <w:rsid w:val="00AE65AD"/>
    <w:rsid w:val="00AF7246"/>
    <w:rsid w:val="00B01603"/>
    <w:rsid w:val="00B06D71"/>
    <w:rsid w:val="00B13ABE"/>
    <w:rsid w:val="00B1732C"/>
    <w:rsid w:val="00B30C75"/>
    <w:rsid w:val="00B34D51"/>
    <w:rsid w:val="00B35644"/>
    <w:rsid w:val="00B36057"/>
    <w:rsid w:val="00B43FCC"/>
    <w:rsid w:val="00B51A58"/>
    <w:rsid w:val="00B64935"/>
    <w:rsid w:val="00B675AC"/>
    <w:rsid w:val="00B76C2C"/>
    <w:rsid w:val="00B80985"/>
    <w:rsid w:val="00B8258E"/>
    <w:rsid w:val="00B825AA"/>
    <w:rsid w:val="00B82BED"/>
    <w:rsid w:val="00B84613"/>
    <w:rsid w:val="00BA299B"/>
    <w:rsid w:val="00BB7861"/>
    <w:rsid w:val="00BC1294"/>
    <w:rsid w:val="00BC51D1"/>
    <w:rsid w:val="00BD1AE5"/>
    <w:rsid w:val="00BD243D"/>
    <w:rsid w:val="00BD4453"/>
    <w:rsid w:val="00BD5295"/>
    <w:rsid w:val="00BF0C3F"/>
    <w:rsid w:val="00BF565D"/>
    <w:rsid w:val="00C026C6"/>
    <w:rsid w:val="00C05F3B"/>
    <w:rsid w:val="00C32AB8"/>
    <w:rsid w:val="00C47CBB"/>
    <w:rsid w:val="00C56417"/>
    <w:rsid w:val="00C63C6F"/>
    <w:rsid w:val="00C64480"/>
    <w:rsid w:val="00C702CA"/>
    <w:rsid w:val="00C77260"/>
    <w:rsid w:val="00C81A44"/>
    <w:rsid w:val="00C82B85"/>
    <w:rsid w:val="00C931F8"/>
    <w:rsid w:val="00C95147"/>
    <w:rsid w:val="00CC2BF5"/>
    <w:rsid w:val="00CD19AE"/>
    <w:rsid w:val="00CD4170"/>
    <w:rsid w:val="00CD4B11"/>
    <w:rsid w:val="00CE1DA9"/>
    <w:rsid w:val="00CF4D64"/>
    <w:rsid w:val="00CF7FCA"/>
    <w:rsid w:val="00D07DF6"/>
    <w:rsid w:val="00D105B9"/>
    <w:rsid w:val="00D24DB0"/>
    <w:rsid w:val="00D34852"/>
    <w:rsid w:val="00D53E09"/>
    <w:rsid w:val="00D629DA"/>
    <w:rsid w:val="00D74358"/>
    <w:rsid w:val="00D778D4"/>
    <w:rsid w:val="00D81023"/>
    <w:rsid w:val="00D831E8"/>
    <w:rsid w:val="00D83F05"/>
    <w:rsid w:val="00D92843"/>
    <w:rsid w:val="00D92AD2"/>
    <w:rsid w:val="00D94520"/>
    <w:rsid w:val="00D97149"/>
    <w:rsid w:val="00DA42E1"/>
    <w:rsid w:val="00DA649E"/>
    <w:rsid w:val="00DB11F6"/>
    <w:rsid w:val="00DB6731"/>
    <w:rsid w:val="00DB6825"/>
    <w:rsid w:val="00DB7EB5"/>
    <w:rsid w:val="00DC6DE0"/>
    <w:rsid w:val="00DC7D6D"/>
    <w:rsid w:val="00DD1FC8"/>
    <w:rsid w:val="00DD718C"/>
    <w:rsid w:val="00DD7C6A"/>
    <w:rsid w:val="00E027D9"/>
    <w:rsid w:val="00E157DD"/>
    <w:rsid w:val="00E30843"/>
    <w:rsid w:val="00E44C2F"/>
    <w:rsid w:val="00E75169"/>
    <w:rsid w:val="00E808BB"/>
    <w:rsid w:val="00E95EAC"/>
    <w:rsid w:val="00EA2F35"/>
    <w:rsid w:val="00EA7D0A"/>
    <w:rsid w:val="00EB0071"/>
    <w:rsid w:val="00EB23B8"/>
    <w:rsid w:val="00EC50E4"/>
    <w:rsid w:val="00EC637E"/>
    <w:rsid w:val="00EE32C4"/>
    <w:rsid w:val="00EF23F6"/>
    <w:rsid w:val="00EF6102"/>
    <w:rsid w:val="00EF62D4"/>
    <w:rsid w:val="00F32AC7"/>
    <w:rsid w:val="00F33D08"/>
    <w:rsid w:val="00F41C13"/>
    <w:rsid w:val="00F4694E"/>
    <w:rsid w:val="00F5020C"/>
    <w:rsid w:val="00F51165"/>
    <w:rsid w:val="00F57229"/>
    <w:rsid w:val="00F577D9"/>
    <w:rsid w:val="00F70A8B"/>
    <w:rsid w:val="00F73C68"/>
    <w:rsid w:val="00F802F5"/>
    <w:rsid w:val="00F81F23"/>
    <w:rsid w:val="00F9186F"/>
    <w:rsid w:val="00F91A73"/>
    <w:rsid w:val="00F92289"/>
    <w:rsid w:val="00F9644A"/>
    <w:rsid w:val="00FB191F"/>
    <w:rsid w:val="00FC2388"/>
    <w:rsid w:val="00FC5854"/>
    <w:rsid w:val="00FD2785"/>
    <w:rsid w:val="00FD48CA"/>
    <w:rsid w:val="00FE3F3F"/>
    <w:rsid w:val="00FE47BC"/>
    <w:rsid w:val="00FE7139"/>
    <w:rsid w:val="00FF54F5"/>
    <w:rsid w:val="00FF5FBB"/>
    <w:rsid w:val="00FF7129"/>
    <w:rsid w:val="13CCDF91"/>
    <w:rsid w:val="264E4986"/>
    <w:rsid w:val="478B03A2"/>
    <w:rsid w:val="6F48781F"/>
    <w:rsid w:val="7325C5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E2EE8D"/>
  <w14:defaultImageDpi w14:val="330"/>
  <w15:chartTrackingRefBased/>
  <w15:docId w15:val="{E2A215EA-0546-4A0A-832D-B3AB8B16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229"/>
    <w:pPr>
      <w:spacing w:after="200"/>
    </w:pPr>
    <w:rPr>
      <w:rFonts w:ascii="Times New Roman" w:hAnsi="Times New Roman"/>
      <w:sz w:val="22"/>
      <w:szCs w:val="22"/>
      <w:lang w:eastAsia="en-US"/>
    </w:rPr>
  </w:style>
  <w:style w:type="paragraph" w:styleId="Heading1">
    <w:name w:val="heading 1"/>
    <w:basedOn w:val="Normal"/>
    <w:next w:val="Normal"/>
    <w:link w:val="Heading1Char"/>
    <w:qFormat/>
    <w:rsid w:val="00663DE3"/>
    <w:pPr>
      <w:keepNext/>
      <w:spacing w:before="240" w:after="60"/>
      <w:outlineLvl w:val="0"/>
    </w:pPr>
    <w:rPr>
      <w:rFonts w:cs="Arial"/>
      <w:b/>
      <w:bCs/>
      <w:kern w:val="32"/>
      <w:sz w:val="24"/>
      <w:szCs w:val="32"/>
    </w:rPr>
  </w:style>
  <w:style w:type="paragraph" w:styleId="Heading2">
    <w:name w:val="heading 2"/>
    <w:basedOn w:val="Normal"/>
    <w:next w:val="Normal"/>
    <w:qFormat/>
    <w:rsid w:val="00663DE3"/>
    <w:pPr>
      <w:keepNext/>
      <w:spacing w:before="240" w:after="60"/>
      <w:outlineLvl w:val="1"/>
    </w:pPr>
    <w:rPr>
      <w:rFonts w:cs="Arial"/>
      <w:bCs/>
      <w:i/>
      <w:iCs/>
      <w:sz w:val="24"/>
      <w:szCs w:val="28"/>
    </w:rPr>
  </w:style>
  <w:style w:type="paragraph" w:styleId="Heading3">
    <w:name w:val="heading 3"/>
    <w:basedOn w:val="Normal"/>
    <w:next w:val="Normal"/>
    <w:qFormat/>
    <w:rsid w:val="00AE0E30"/>
    <w:pPr>
      <w:keepNext/>
      <w:spacing w:before="240" w:after="60"/>
      <w:ind w:left="720"/>
      <w:outlineLvl w:val="2"/>
    </w:pPr>
    <w:rPr>
      <w:rFonts w:cs="Arial"/>
      <w:bCs/>
      <w:i/>
      <w:szCs w:val="26"/>
    </w:rPr>
  </w:style>
  <w:style w:type="paragraph" w:styleId="Heading4">
    <w:name w:val="heading 4"/>
    <w:basedOn w:val="Normal"/>
    <w:next w:val="Normal"/>
    <w:qFormat/>
    <w:rsid w:val="009B40F1"/>
    <w:pPr>
      <w:keepNext/>
      <w:spacing w:before="240" w:after="60"/>
      <w:outlineLvl w:val="3"/>
    </w:pPr>
    <w:rPr>
      <w:b/>
      <w:bCs/>
      <w:sz w:val="28"/>
      <w:szCs w:val="28"/>
    </w:rPr>
  </w:style>
  <w:style w:type="paragraph" w:styleId="Heading5">
    <w:name w:val="heading 5"/>
    <w:basedOn w:val="Normal"/>
    <w:next w:val="Normal"/>
    <w:qFormat/>
    <w:locked/>
    <w:rsid w:val="009B40F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sid w:val="00BF0C3F"/>
    <w:rPr>
      <w:color w:val="0000FF"/>
      <w:u w:val="single"/>
    </w:rPr>
  </w:style>
  <w:style w:type="paragraph" w:styleId="BalloonText">
    <w:name w:val="Balloon Text"/>
    <w:basedOn w:val="Normal"/>
    <w:semiHidden/>
    <w:locked/>
    <w:rsid w:val="008912F6"/>
    <w:rPr>
      <w:rFonts w:ascii="Tahoma" w:hAnsi="Tahoma" w:cs="Tahoma"/>
      <w:sz w:val="16"/>
      <w:szCs w:val="16"/>
    </w:rPr>
  </w:style>
  <w:style w:type="paragraph" w:customStyle="1" w:styleId="TableandFigurecaptionstyle">
    <w:name w:val="Table and Figure caption style"/>
    <w:basedOn w:val="Normal"/>
    <w:locked/>
    <w:rsid w:val="00AF7246"/>
    <w:pPr>
      <w:widowControl w:val="0"/>
      <w:autoSpaceDE w:val="0"/>
      <w:autoSpaceDN w:val="0"/>
      <w:adjustRightInd w:val="0"/>
      <w:spacing w:after="0" w:line="239" w:lineRule="auto"/>
      <w:ind w:left="114" w:right="204"/>
    </w:pPr>
    <w:rPr>
      <w:b/>
      <w:bCs/>
      <w:color w:val="000000"/>
    </w:rPr>
  </w:style>
  <w:style w:type="paragraph" w:customStyle="1" w:styleId="dotpointsinbox">
    <w:name w:val="dot points in box"/>
    <w:basedOn w:val="Normal"/>
    <w:locked/>
    <w:rsid w:val="0094728C"/>
    <w:pPr>
      <w:widowControl w:val="0"/>
      <w:numPr>
        <w:numId w:val="15"/>
      </w:numPr>
      <w:pBdr>
        <w:top w:val="single" w:sz="4" w:space="1" w:color="auto"/>
        <w:left w:val="single" w:sz="4" w:space="4" w:color="auto"/>
        <w:bottom w:val="single" w:sz="4" w:space="1" w:color="auto"/>
        <w:right w:val="single" w:sz="4" w:space="4" w:color="auto"/>
      </w:pBdr>
      <w:autoSpaceDE w:val="0"/>
      <w:autoSpaceDN w:val="0"/>
      <w:adjustRightInd w:val="0"/>
      <w:spacing w:after="0"/>
    </w:pPr>
    <w:rPr>
      <w:bCs/>
    </w:rPr>
  </w:style>
  <w:style w:type="paragraph" w:styleId="Header">
    <w:name w:val="header"/>
    <w:basedOn w:val="Normal"/>
    <w:locked/>
    <w:rsid w:val="001D2B5A"/>
    <w:pPr>
      <w:tabs>
        <w:tab w:val="center" w:pos="4153"/>
        <w:tab w:val="right" w:pos="8306"/>
      </w:tabs>
    </w:pPr>
  </w:style>
  <w:style w:type="paragraph" w:styleId="Footer">
    <w:name w:val="footer"/>
    <w:basedOn w:val="Normal"/>
    <w:locked/>
    <w:rsid w:val="001D2B5A"/>
    <w:pPr>
      <w:tabs>
        <w:tab w:val="center" w:pos="4153"/>
        <w:tab w:val="right" w:pos="8306"/>
      </w:tabs>
    </w:pPr>
  </w:style>
  <w:style w:type="character" w:styleId="PageNumber">
    <w:name w:val="page number"/>
    <w:basedOn w:val="DefaultParagraphFont"/>
    <w:locked/>
    <w:rsid w:val="001D2B5A"/>
  </w:style>
  <w:style w:type="paragraph" w:styleId="Title">
    <w:name w:val="Title"/>
    <w:basedOn w:val="Normal"/>
    <w:qFormat/>
    <w:locked/>
    <w:rsid w:val="00663DE3"/>
    <w:pPr>
      <w:spacing w:before="240" w:after="60"/>
      <w:outlineLvl w:val="0"/>
    </w:pPr>
    <w:rPr>
      <w:rFonts w:cs="Arial"/>
      <w:b/>
      <w:bCs/>
      <w:kern w:val="28"/>
      <w:sz w:val="32"/>
      <w:szCs w:val="32"/>
    </w:rPr>
  </w:style>
  <w:style w:type="paragraph" w:customStyle="1" w:styleId="addresslist">
    <w:name w:val="address list"/>
    <w:basedOn w:val="Normal"/>
    <w:locked/>
    <w:rsid w:val="001069E0"/>
    <w:pPr>
      <w:spacing w:after="80"/>
    </w:pPr>
    <w:rPr>
      <w:i/>
      <w:sz w:val="16"/>
    </w:rPr>
  </w:style>
  <w:style w:type="character" w:styleId="CommentReference">
    <w:name w:val="annotation reference"/>
    <w:semiHidden/>
    <w:locked/>
    <w:rsid w:val="00775E9D"/>
    <w:rPr>
      <w:sz w:val="16"/>
      <w:szCs w:val="16"/>
    </w:rPr>
  </w:style>
  <w:style w:type="paragraph" w:styleId="CommentText">
    <w:name w:val="annotation text"/>
    <w:basedOn w:val="Normal"/>
    <w:semiHidden/>
    <w:locked/>
    <w:rsid w:val="00775E9D"/>
    <w:rPr>
      <w:sz w:val="20"/>
      <w:szCs w:val="20"/>
    </w:rPr>
  </w:style>
  <w:style w:type="paragraph" w:styleId="CommentSubject">
    <w:name w:val="annotation subject"/>
    <w:basedOn w:val="CommentText"/>
    <w:next w:val="CommentText"/>
    <w:semiHidden/>
    <w:locked/>
    <w:rsid w:val="00775E9D"/>
    <w:rPr>
      <w:b/>
      <w:bCs/>
    </w:rPr>
  </w:style>
  <w:style w:type="paragraph" w:customStyle="1" w:styleId="GridTable21">
    <w:name w:val="Grid Table 21"/>
    <w:basedOn w:val="Normal"/>
    <w:locked/>
    <w:rsid w:val="007A1930"/>
    <w:pPr>
      <w:widowControl w:val="0"/>
      <w:autoSpaceDE w:val="0"/>
      <w:autoSpaceDN w:val="0"/>
      <w:adjustRightInd w:val="0"/>
      <w:spacing w:after="0"/>
      <w:ind w:left="354" w:right="526" w:hanging="240"/>
    </w:pPr>
    <w:rPr>
      <w:color w:val="000000"/>
    </w:rPr>
  </w:style>
  <w:style w:type="table" w:styleId="TableGrid">
    <w:name w:val="Table Grid"/>
    <w:basedOn w:val="TableNormal"/>
    <w:uiPriority w:val="39"/>
    <w:locked/>
    <w:rsid w:val="002A0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arkList">
    <w:name w:val="Dark List"/>
    <w:basedOn w:val="TableNormal"/>
    <w:uiPriority w:val="61"/>
    <w:locked/>
    <w:rsid w:val="002A0FD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UnresolvedMention">
    <w:name w:val="Unresolved Mention"/>
    <w:uiPriority w:val="99"/>
    <w:semiHidden/>
    <w:unhideWhenUsed/>
    <w:rsid w:val="007B4269"/>
    <w:rPr>
      <w:color w:val="605E5C"/>
      <w:shd w:val="clear" w:color="auto" w:fill="E1DFDD"/>
    </w:rPr>
  </w:style>
  <w:style w:type="paragraph" w:styleId="ListParagraph">
    <w:name w:val="List Paragraph"/>
    <w:basedOn w:val="Normal"/>
    <w:uiPriority w:val="72"/>
    <w:qFormat/>
    <w:rsid w:val="00DC7D6D"/>
    <w:pPr>
      <w:ind w:left="720"/>
      <w:contextualSpacing/>
    </w:pPr>
  </w:style>
  <w:style w:type="character" w:customStyle="1" w:styleId="Heading1Char">
    <w:name w:val="Heading 1 Char"/>
    <w:basedOn w:val="DefaultParagraphFont"/>
    <w:link w:val="Heading1"/>
    <w:rsid w:val="00F57229"/>
    <w:rPr>
      <w:rFonts w:ascii="Times New Roman" w:hAnsi="Times New Roman" w:cs="Arial"/>
      <w:b/>
      <w:bCs/>
      <w:kern w:val="32"/>
      <w:sz w:val="24"/>
      <w:szCs w:val="32"/>
      <w:lang w:eastAsia="en-US"/>
    </w:rPr>
  </w:style>
  <w:style w:type="character" w:customStyle="1" w:styleId="normaltextrun">
    <w:name w:val="normaltextrun"/>
    <w:basedOn w:val="DefaultParagraphFont"/>
    <w:rsid w:val="005D0B9A"/>
  </w:style>
  <w:style w:type="character" w:customStyle="1" w:styleId="eop">
    <w:name w:val="eop"/>
    <w:basedOn w:val="DefaultParagraphFont"/>
    <w:rsid w:val="005D0B9A"/>
  </w:style>
  <w:style w:type="paragraph" w:customStyle="1" w:styleId="paragraph">
    <w:name w:val="paragraph"/>
    <w:basedOn w:val="Normal"/>
    <w:rsid w:val="00F33D08"/>
    <w:pPr>
      <w:spacing w:before="100" w:beforeAutospacing="1" w:after="100" w:afterAutospacing="1"/>
    </w:pPr>
    <w:rPr>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doi.org/10.25949/19432097"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3390/ani9070429" TargetMode="External"/><Relationship Id="rId2" Type="http://schemas.openxmlformats.org/officeDocument/2006/relationships/customXml" Target="../customXml/item2.xml"/><Relationship Id="rId16" Type="http://schemas.openxmlformats.org/officeDocument/2006/relationships/hyperlink" Target="https://doi.org/10.3390/ruminants502002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eg@riverness.com.a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i.org/10.3390/ani10061069"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3390/ani9010005"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7D2D0DE248D44B9EBB1E7A07795BEC" ma:contentTypeVersion="11" ma:contentTypeDescription="Create a new document." ma:contentTypeScope="" ma:versionID="b9b929e164d677571bd777404f1346a3">
  <xsd:schema xmlns:xsd="http://www.w3.org/2001/XMLSchema" xmlns:xs="http://www.w3.org/2001/XMLSchema" xmlns:p="http://schemas.microsoft.com/office/2006/metadata/properties" xmlns:ns2="bdbc4a58-9835-48ef-9b8e-677729162eee" xmlns:ns3="503ba20c-7cb4-4d88-a326-0d27e5ba2818" targetNamespace="http://schemas.microsoft.com/office/2006/metadata/properties" ma:root="true" ma:fieldsID="ad41a09a549cea6ae32b85123c2f836f" ns2:_="" ns3:_="">
    <xsd:import namespace="bdbc4a58-9835-48ef-9b8e-677729162eee"/>
    <xsd:import namespace="503ba20c-7cb4-4d88-a326-0d27e5ba28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olderguidelin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bc4a58-9835-48ef-9b8e-677729162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olderguidelines" ma:index="11" nillable="true" ma:displayName="Folder guidelines" ma:format="Dropdown" ma:internalName="Folderguidelines">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2bf3b53-f8de-4c8a-8af8-d53d254533c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ba20c-7cb4-4d88-a326-0d27e5ba281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d7dd5e6-5649-4e8a-bd18-126ca0942cf3}" ma:internalName="TaxCatchAll" ma:showField="CatchAllData" ma:web="503ba20c-7cb4-4d88-a326-0d27e5ba2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03ba20c-7cb4-4d88-a326-0d27e5ba2818"/>
    <lcf76f155ced4ddcb4097134ff3c332f xmlns="bdbc4a58-9835-48ef-9b8e-677729162eee">
      <Terms xmlns="http://schemas.microsoft.com/office/infopath/2007/PartnerControls"/>
    </lcf76f155ced4ddcb4097134ff3c332f>
    <Folderguidelines xmlns="bdbc4a58-9835-48ef-9b8e-677729162ee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DCBDAB-36A7-403F-AA17-3C7F0BC63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bc4a58-9835-48ef-9b8e-677729162eee"/>
    <ds:schemaRef ds:uri="503ba20c-7cb4-4d88-a326-0d27e5ba2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849896-B00C-41EB-AF06-7F39166E3027}">
  <ds:schemaRefs>
    <ds:schemaRef ds:uri="http://schemas.openxmlformats.org/officeDocument/2006/bibliography"/>
  </ds:schemaRefs>
</ds:datastoreItem>
</file>

<file path=customXml/itemProps3.xml><?xml version="1.0" encoding="utf-8"?>
<ds:datastoreItem xmlns:ds="http://schemas.openxmlformats.org/officeDocument/2006/customXml" ds:itemID="{DF1CF82C-5D70-45CB-866D-FCFB4C82137A}">
  <ds:schemaRefs>
    <ds:schemaRef ds:uri="http://schemas.microsoft.com/office/2006/metadata/properties"/>
    <ds:schemaRef ds:uri="http://schemas.microsoft.com/office/infopath/2007/PartnerControls"/>
    <ds:schemaRef ds:uri="503ba20c-7cb4-4d88-a326-0d27e5ba2818"/>
    <ds:schemaRef ds:uri="bdbc4a58-9835-48ef-9b8e-677729162eee"/>
  </ds:schemaRefs>
</ds:datastoreItem>
</file>

<file path=customXml/itemProps4.xml><?xml version="1.0" encoding="utf-8"?>
<ds:datastoreItem xmlns:ds="http://schemas.openxmlformats.org/officeDocument/2006/customXml" ds:itemID="{B5338913-46B8-42F5-883E-9525B68EC0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3035</Words>
  <Characters>17306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Microsoft Word - Allan_Catherine_89.doc</vt:lpstr>
    </vt:vector>
  </TitlesOfParts>
  <Company>.</Company>
  <LinksUpToDate>false</LinksUpToDate>
  <CharactersWithSpaces>20301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Allan_Catherine_89.doc</dc:title>
  <dc:subject/>
  <dc:creator>rdehaan</dc:creator>
  <cp:keywords/>
  <dc:description>Document was created by {applicationname}, version: {version}</dc:description>
  <cp:lastModifiedBy>Greg Peters</cp:lastModifiedBy>
  <cp:revision>2</cp:revision>
  <dcterms:created xsi:type="dcterms:W3CDTF">2026-08-17T01:38:00Z</dcterms:created>
  <dcterms:modified xsi:type="dcterms:W3CDTF">2026-08-17T01:38:00Z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3becb175,70570e10,2515c9da</vt:lpwstr>
  </property>
  <property fmtid="{D5CDD505-2E9C-101B-9397-08002B2CF9AE}" pid="3" name="ClassificationContentMarkingFooterFontProps">
    <vt:lpwstr>#000000,12,Aptos</vt:lpwstr>
  </property>
  <property fmtid="{D5CDD505-2E9C-101B-9397-08002B2CF9AE}" pid="4" name="ClassificationContentMarkingFooterText">
    <vt:lpwstr>Unofficial</vt:lpwstr>
  </property>
  <property fmtid="{D5CDD505-2E9C-101B-9397-08002B2CF9AE}" pid="5" name="MSIP_Label_b92b7feb-b287-442c-a072-f385b02ec972_Enabled">
    <vt:lpwstr>true</vt:lpwstr>
  </property>
  <property fmtid="{D5CDD505-2E9C-101B-9397-08002B2CF9AE}" pid="6" name="MSIP_Label_b92b7feb-b287-442c-a072-f385b02ec972_SetDate">
    <vt:lpwstr>2026-04-09T06:50:21Z</vt:lpwstr>
  </property>
  <property fmtid="{D5CDD505-2E9C-101B-9397-08002B2CF9AE}" pid="7" name="MSIP_Label_b92b7feb-b287-442c-a072-f385b02ec972_Method">
    <vt:lpwstr>Privileged</vt:lpwstr>
  </property>
  <property fmtid="{D5CDD505-2E9C-101B-9397-08002B2CF9AE}" pid="8" name="MSIP_Label_b92b7feb-b287-442c-a072-f385b02ec972_Name">
    <vt:lpwstr>Unofficial</vt:lpwstr>
  </property>
  <property fmtid="{D5CDD505-2E9C-101B-9397-08002B2CF9AE}" pid="9" name="MSIP_Label_b92b7feb-b287-442c-a072-f385b02ec972_SiteId">
    <vt:lpwstr>e8bdd6f7-fc18-4e48-a554-7f547927223b</vt:lpwstr>
  </property>
  <property fmtid="{D5CDD505-2E9C-101B-9397-08002B2CF9AE}" pid="10" name="MSIP_Label_b92b7feb-b287-442c-a072-f385b02ec972_ActionId">
    <vt:lpwstr>fe5e4d83-bcaf-496e-b203-ffc6c3d36f1c</vt:lpwstr>
  </property>
  <property fmtid="{D5CDD505-2E9C-101B-9397-08002B2CF9AE}" pid="11" name="MSIP_Label_b92b7feb-b287-442c-a072-f385b02ec972_ContentBits">
    <vt:lpwstr>2</vt:lpwstr>
  </property>
  <property fmtid="{D5CDD505-2E9C-101B-9397-08002B2CF9AE}" pid="12" name="MSIP_Label_b92b7feb-b287-442c-a072-f385b02ec972_Tag">
    <vt:lpwstr>10, 0, 1, 1</vt:lpwstr>
  </property>
  <property fmtid="{D5CDD505-2E9C-101B-9397-08002B2CF9AE}" pid="13" name="ContentTypeId">
    <vt:lpwstr>0x010100E57D2D0DE248D44B9EBB1E7A07795BEC</vt:lpwstr>
  </property>
  <property fmtid="{D5CDD505-2E9C-101B-9397-08002B2CF9AE}" pid="14" name="MediaServiceImageTags">
    <vt:lpwstr/>
  </property>
</Properties>
</file>